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charts/chart15.xml" ContentType="application/vnd.openxmlformats-officedocument.drawingml.chart+xml"/>
  <Override PartName="/word/theme/themeOverride13.xml" ContentType="application/vnd.openxmlformats-officedocument.themeOverride+xml"/>
  <Override PartName="/word/charts/chart16.xml" ContentType="application/vnd.openxmlformats-officedocument.drawingml.chart+xml"/>
  <Override PartName="/word/theme/themeOverride14.xml" ContentType="application/vnd.openxmlformats-officedocument.themeOverride+xml"/>
  <Override PartName="/word/charts/chart17.xml" ContentType="application/vnd.openxmlformats-officedocument.drawingml.chart+xml"/>
  <Override PartName="/word/theme/themeOverride15.xml" ContentType="application/vnd.openxmlformats-officedocument.themeOverride+xml"/>
  <Override PartName="/word/charts/chart18.xml" ContentType="application/vnd.openxmlformats-officedocument.drawingml.chart+xml"/>
  <Override PartName="/word/theme/themeOverride16.xml" ContentType="application/vnd.openxmlformats-officedocument.themeOverride+xml"/>
  <Override PartName="/word/charts/chart19.xml" ContentType="application/vnd.openxmlformats-officedocument.drawingml.chart+xml"/>
  <Override PartName="/word/theme/themeOverride17.xml" ContentType="application/vnd.openxmlformats-officedocument.themeOverride+xml"/>
  <Override PartName="/word/charts/chart20.xml" ContentType="application/vnd.openxmlformats-officedocument.drawingml.chart+xml"/>
  <Override PartName="/word/theme/themeOverride18.xml" ContentType="application/vnd.openxmlformats-officedocument.themeOverride+xml"/>
  <Override PartName="/word/charts/chart21.xml" ContentType="application/vnd.openxmlformats-officedocument.drawingml.chart+xml"/>
  <Override PartName="/word/theme/themeOverride19.xml" ContentType="application/vnd.openxmlformats-officedocument.themeOverride+xml"/>
  <Override PartName="/word/charts/chart22.xml" ContentType="application/vnd.openxmlformats-officedocument.drawingml.chart+xml"/>
  <Override PartName="/word/theme/themeOverride20.xml" ContentType="application/vnd.openxmlformats-officedocument.themeOverride+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742076" w:rsidRPr="00380B51" w14:paraId="74F9ACD0" w14:textId="77777777" w:rsidTr="00380B51">
        <w:trPr>
          <w:trHeight w:val="1984"/>
        </w:trPr>
        <w:tc>
          <w:tcPr>
            <w:tcW w:w="9781" w:type="dxa"/>
            <w:vAlign w:val="bottom"/>
          </w:tcPr>
          <w:p w14:paraId="642278F5" w14:textId="6596AD0C" w:rsidR="002B029E" w:rsidRPr="00155C44" w:rsidRDefault="00155C44" w:rsidP="005C6EE6">
            <w:pPr>
              <w:pStyle w:val="ForsideOverskrift"/>
              <w:rPr>
                <w:color w:val="auto"/>
              </w:rPr>
            </w:pPr>
            <w:r w:rsidRPr="00155C44">
              <w:rPr>
                <w:color w:val="auto"/>
              </w:rPr>
              <w:t>A</w:t>
            </w:r>
            <w:r>
              <w:rPr>
                <w:color w:val="auto"/>
              </w:rPr>
              <w:t>FFALDSPLAN</w:t>
            </w:r>
            <w:r>
              <w:rPr>
                <w:color w:val="auto"/>
              </w:rPr>
              <w:br/>
              <w:t>202</w:t>
            </w:r>
            <w:r w:rsidR="00A13B95">
              <w:rPr>
                <w:color w:val="auto"/>
              </w:rPr>
              <w:t>2</w:t>
            </w:r>
            <w:r>
              <w:rPr>
                <w:color w:val="auto"/>
              </w:rPr>
              <w:t>-203</w:t>
            </w:r>
            <w:r w:rsidR="00A13B95">
              <w:rPr>
                <w:color w:val="auto"/>
              </w:rPr>
              <w:t>2</w:t>
            </w:r>
          </w:p>
        </w:tc>
        <w:tc>
          <w:tcPr>
            <w:tcW w:w="142" w:type="dxa"/>
          </w:tcPr>
          <w:p w14:paraId="198741F2" w14:textId="77777777" w:rsidR="00742076" w:rsidRPr="00380B51" w:rsidRDefault="00742076" w:rsidP="005C6EE6">
            <w:pPr>
              <w:pStyle w:val="ForsideIntro"/>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5B20C1" w:rsidRPr="00380B51" w14:paraId="089EBBC0" w14:textId="77777777" w:rsidTr="00E6010E">
        <w:trPr>
          <w:cantSplit/>
          <w:trHeight w:val="1134"/>
        </w:trPr>
        <w:tc>
          <w:tcPr>
            <w:tcW w:w="680" w:type="dxa"/>
            <w:textDirection w:val="tbRl"/>
            <w:vAlign w:val="center"/>
          </w:tcPr>
          <w:p w14:paraId="2967A7D7" w14:textId="77777777" w:rsidR="005B20C1" w:rsidRPr="007060C6" w:rsidRDefault="005B20C1" w:rsidP="005C6EE6"/>
        </w:tc>
      </w:tr>
      <w:tr w:rsidR="005B20C1" w:rsidRPr="00380B51" w14:paraId="1A1CF2A2" w14:textId="77777777" w:rsidTr="00E6010E">
        <w:trPr>
          <w:cantSplit/>
          <w:trHeight w:val="8222"/>
        </w:trPr>
        <w:tc>
          <w:tcPr>
            <w:tcW w:w="680" w:type="dxa"/>
            <w:textDirection w:val="tbRl"/>
            <w:vAlign w:val="center"/>
          </w:tcPr>
          <w:p w14:paraId="4C9563A8" w14:textId="77777777" w:rsidR="005B20C1" w:rsidRPr="007060C6" w:rsidRDefault="005B20C1" w:rsidP="005C6EE6">
            <w:pPr>
              <w:pStyle w:val="ForsideSidepanel"/>
              <w:framePr w:wrap="auto" w:vAnchor="margin" w:hAnchor="text" w:xAlign="left" w:yAlign="inline"/>
              <w:suppressOverlap w:val="0"/>
            </w:pPr>
            <w:r w:rsidRPr="007060C6">
              <w:t>af</w:t>
            </w:r>
            <w:r w:rsidR="004270CE">
              <w:t>DELING FOR bYG, lAND OG mILJØ</w:t>
            </w:r>
          </w:p>
        </w:tc>
      </w:tr>
      <w:tr w:rsidR="005B20C1" w:rsidRPr="00380B51" w14:paraId="6524785D" w14:textId="77777777" w:rsidTr="008C42B4">
        <w:trPr>
          <w:cantSplit/>
          <w:trHeight w:val="4306"/>
        </w:trPr>
        <w:tc>
          <w:tcPr>
            <w:tcW w:w="680" w:type="dxa"/>
            <w:textDirection w:val="tbRl"/>
            <w:vAlign w:val="center"/>
          </w:tcPr>
          <w:p w14:paraId="6394F915" w14:textId="77777777" w:rsidR="005B20C1" w:rsidRPr="00380B51" w:rsidRDefault="005B20C1" w:rsidP="005C6EE6">
            <w:pPr>
              <w:pStyle w:val="ForsideWebadresse"/>
              <w:framePr w:wrap="auto" w:vAnchor="margin" w:hAnchor="text" w:xAlign="left" w:yAlign="inline"/>
              <w:suppressOverlap w:val="0"/>
            </w:pPr>
            <w:r w:rsidRPr="00380B51">
              <w:t>vordingborg.dk</w:t>
            </w:r>
          </w:p>
        </w:tc>
      </w:tr>
    </w:tbl>
    <w:p w14:paraId="432A6A8A" w14:textId="77777777" w:rsidR="005A1400" w:rsidRPr="00380B51" w:rsidRDefault="005A1400" w:rsidP="005C6EE6"/>
    <w:p w14:paraId="4D461968" w14:textId="77777777" w:rsidR="008B0965" w:rsidRPr="00380B51" w:rsidRDefault="008B0965" w:rsidP="005C6EE6"/>
    <w:p w14:paraId="15498C7E" w14:textId="77777777" w:rsidR="00380B51" w:rsidRDefault="00380B51" w:rsidP="005C6EE6"/>
    <w:p w14:paraId="419F6BDB" w14:textId="77777777" w:rsidR="00380B51" w:rsidRPr="00380B51" w:rsidRDefault="00380B51" w:rsidP="005C6EE6"/>
    <w:p w14:paraId="1BF97F3C" w14:textId="77777777" w:rsidR="00380B51" w:rsidRPr="00380B51" w:rsidRDefault="00380B51" w:rsidP="005C6EE6"/>
    <w:p w14:paraId="4D92EFFF" w14:textId="77777777" w:rsidR="00380B51" w:rsidRPr="00380B51" w:rsidRDefault="00380B51" w:rsidP="005C6EE6"/>
    <w:p w14:paraId="190DE341" w14:textId="77777777" w:rsidR="00380B51" w:rsidRPr="00380B51" w:rsidRDefault="00380B51" w:rsidP="005C6EE6"/>
    <w:p w14:paraId="58D30C60" w14:textId="44E66C83" w:rsidR="002B029E" w:rsidRPr="000A512E" w:rsidRDefault="006329E4" w:rsidP="005C6EE6">
      <w:pPr>
        <w:rPr>
          <w:i/>
          <w:iCs/>
          <w:sz w:val="36"/>
          <w:szCs w:val="36"/>
        </w:rPr>
      </w:pPr>
      <w:r>
        <w:rPr>
          <w:i/>
          <w:iCs/>
          <w:sz w:val="36"/>
          <w:szCs w:val="36"/>
        </w:rPr>
        <w:t>Godkendt af Kommunalbestyrelsen den 23. marts 2022</w:t>
      </w:r>
    </w:p>
    <w:p w14:paraId="338E9532" w14:textId="77777777" w:rsidR="002B029E" w:rsidRPr="00991332" w:rsidRDefault="002B029E" w:rsidP="005C6EE6"/>
    <w:p w14:paraId="171775CC" w14:textId="31A0257B" w:rsidR="002B029E" w:rsidRDefault="00DE61E5" w:rsidP="005C6EE6">
      <w:r>
        <w:rPr>
          <w:noProof/>
        </w:rPr>
        <w:drawing>
          <wp:inline distT="0" distB="0" distL="0" distR="0" wp14:anchorId="67CAB6AC" wp14:editId="6AE86068">
            <wp:extent cx="6120130" cy="2404745"/>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404745"/>
                    </a:xfrm>
                    <a:prstGeom prst="rect">
                      <a:avLst/>
                    </a:prstGeom>
                  </pic:spPr>
                </pic:pic>
              </a:graphicData>
            </a:graphic>
          </wp:inline>
        </w:drawing>
      </w:r>
    </w:p>
    <w:p w14:paraId="728B2E94" w14:textId="77777777" w:rsidR="00155C44" w:rsidRDefault="00155C44" w:rsidP="005C6EE6"/>
    <w:p w14:paraId="25AE459A" w14:textId="77777777" w:rsidR="002B029E" w:rsidRDefault="002B029E" w:rsidP="005C6EE6"/>
    <w:p w14:paraId="6881B64B" w14:textId="77777777" w:rsidR="00155C44" w:rsidRDefault="00155C44" w:rsidP="005C6EE6"/>
    <w:p w14:paraId="05A6FCA5" w14:textId="08A93215" w:rsidR="00380B51" w:rsidRPr="00380B51" w:rsidRDefault="00380B51" w:rsidP="005C6EE6"/>
    <w:p w14:paraId="25F9701A" w14:textId="77777777" w:rsidR="001416BC" w:rsidRPr="00380B51" w:rsidRDefault="001416BC" w:rsidP="005C6EE6"/>
    <w:p w14:paraId="6D4E4A58" w14:textId="77777777" w:rsidR="00B0651A" w:rsidRDefault="003D51CC" w:rsidP="005C6EE6">
      <w:r>
        <w:tab/>
      </w:r>
    </w:p>
    <w:p w14:paraId="6F86F4F2" w14:textId="69C2963B" w:rsidR="003D51CC" w:rsidRPr="001416BC" w:rsidRDefault="003D51CC" w:rsidP="005C6EE6">
      <w:pPr>
        <w:rPr>
          <w:lang w:val="en-US"/>
        </w:rPr>
      </w:pPr>
      <w:r w:rsidRPr="001416BC">
        <w:rPr>
          <w:lang w:val="en-US"/>
        </w:rPr>
        <w:t xml:space="preserve">Sags nr.  </w:t>
      </w:r>
      <w:r w:rsidR="00155C44">
        <w:rPr>
          <w:lang w:val="en-US"/>
        </w:rPr>
        <w:t>21/17153</w:t>
      </w:r>
    </w:p>
    <w:p w14:paraId="7C4E1123" w14:textId="77777777" w:rsidR="00E22F78" w:rsidRDefault="00E22F78" w:rsidP="005C6EE6"/>
    <w:p w14:paraId="59F478CE" w14:textId="53DA8658" w:rsidR="007A7AC0" w:rsidRDefault="007A7AC0">
      <w:pPr>
        <w:suppressAutoHyphens w:val="0"/>
        <w:autoSpaceDN/>
        <w:spacing w:after="200" w:line="276" w:lineRule="auto"/>
        <w:textAlignment w:val="auto"/>
      </w:pPr>
      <w:r>
        <w:br w:type="page"/>
      </w:r>
    </w:p>
    <w:p w14:paraId="0160AD66" w14:textId="77777777" w:rsidR="00E22F78" w:rsidRPr="00380B51" w:rsidRDefault="00E22F78" w:rsidP="005C6EE6">
      <w:pPr>
        <w:sectPr w:rsidR="00E22F78" w:rsidRPr="00380B51" w:rsidSect="008C42B4">
          <w:headerReference w:type="default" r:id="rId9"/>
          <w:footerReference w:type="default" r:id="rId10"/>
          <w:pgSz w:w="11906" w:h="16838" w:code="9"/>
          <w:pgMar w:top="1134" w:right="1134" w:bottom="1134" w:left="1134" w:header="709" w:footer="709" w:gutter="0"/>
          <w:cols w:space="708"/>
          <w:docGrid w:linePitch="360"/>
        </w:sectPr>
      </w:pPr>
    </w:p>
    <w:bookmarkStart w:id="0" w:name="_Toc85189828" w:displacedByCustomXml="next"/>
    <w:bookmarkStart w:id="1" w:name="_Toc69216613" w:displacedByCustomXml="next"/>
    <w:bookmarkStart w:id="2" w:name="_Toc70950907" w:displacedByCustomXml="next"/>
    <w:bookmarkStart w:id="3" w:name="_Toc76126037" w:displacedByCustomXml="next"/>
    <w:sdt>
      <w:sdtPr>
        <w:rPr>
          <w:rFonts w:ascii="Arial" w:eastAsia="Calibri" w:hAnsi="Arial" w:cs="Arial"/>
          <w:color w:val="auto"/>
          <w:sz w:val="22"/>
          <w:szCs w:val="22"/>
          <w:lang w:eastAsia="en-US"/>
        </w:rPr>
        <w:id w:val="1721635593"/>
        <w:docPartObj>
          <w:docPartGallery w:val="Table of Contents"/>
          <w:docPartUnique/>
        </w:docPartObj>
      </w:sdtPr>
      <w:sdtEndPr>
        <w:rPr>
          <w:b/>
          <w:bCs/>
        </w:rPr>
      </w:sdtEndPr>
      <w:sdtContent>
        <w:p w14:paraId="4A870C6B" w14:textId="5BA280DE" w:rsidR="007A7AC0" w:rsidRPr="00EA29FC" w:rsidRDefault="007A7AC0">
          <w:pPr>
            <w:pStyle w:val="Overskrift"/>
            <w:rPr>
              <w:color w:val="auto"/>
            </w:rPr>
          </w:pPr>
          <w:r w:rsidRPr="00EA29FC">
            <w:rPr>
              <w:color w:val="auto"/>
            </w:rPr>
            <w:t>Indholdsfortegnelse</w:t>
          </w:r>
          <w:bookmarkEnd w:id="0"/>
        </w:p>
        <w:p w14:paraId="3DF4D7C9" w14:textId="3B0C555E" w:rsidR="000B7BF9" w:rsidRDefault="007A7AC0">
          <w:pPr>
            <w:pStyle w:val="Indholdsfortegnelse1"/>
            <w:rPr>
              <w:rFonts w:asciiTheme="minorHAnsi" w:eastAsiaTheme="minorEastAsia" w:hAnsiTheme="minorHAnsi" w:cstheme="minorBidi"/>
              <w:b w:val="0"/>
              <w:caps w:val="0"/>
              <w:noProof/>
              <w:lang w:eastAsia="da-DK"/>
            </w:rPr>
          </w:pPr>
          <w:r>
            <w:fldChar w:fldCharType="begin"/>
          </w:r>
          <w:r>
            <w:instrText xml:space="preserve"> TOC \o "1-3" \h \z \u </w:instrText>
          </w:r>
          <w:r>
            <w:fldChar w:fldCharType="separate"/>
          </w:r>
          <w:hyperlink w:anchor="_Toc85189828" w:history="1">
            <w:r w:rsidR="000B7BF9" w:rsidRPr="006461BD">
              <w:rPr>
                <w:rStyle w:val="Hyperlink"/>
                <w:rFonts w:eastAsiaTheme="majorEastAsia"/>
                <w:noProof/>
              </w:rPr>
              <w:t>Indholdsfortegnelse</w:t>
            </w:r>
            <w:r w:rsidR="000B7BF9">
              <w:rPr>
                <w:noProof/>
                <w:webHidden/>
              </w:rPr>
              <w:tab/>
            </w:r>
            <w:r w:rsidR="000B7BF9">
              <w:rPr>
                <w:noProof/>
                <w:webHidden/>
              </w:rPr>
              <w:fldChar w:fldCharType="begin"/>
            </w:r>
            <w:r w:rsidR="000B7BF9">
              <w:rPr>
                <w:noProof/>
                <w:webHidden/>
              </w:rPr>
              <w:instrText xml:space="preserve"> PAGEREF _Toc85189828 \h </w:instrText>
            </w:r>
            <w:r w:rsidR="000B7BF9">
              <w:rPr>
                <w:noProof/>
                <w:webHidden/>
              </w:rPr>
            </w:r>
            <w:r w:rsidR="000B7BF9">
              <w:rPr>
                <w:noProof/>
                <w:webHidden/>
              </w:rPr>
              <w:fldChar w:fldCharType="separate"/>
            </w:r>
            <w:r w:rsidR="000B7BF9">
              <w:rPr>
                <w:noProof/>
                <w:webHidden/>
              </w:rPr>
              <w:t>2</w:t>
            </w:r>
            <w:r w:rsidR="000B7BF9">
              <w:rPr>
                <w:noProof/>
                <w:webHidden/>
              </w:rPr>
              <w:fldChar w:fldCharType="end"/>
            </w:r>
          </w:hyperlink>
        </w:p>
        <w:p w14:paraId="75071D12" w14:textId="0C7B5D88" w:rsidR="000B7BF9" w:rsidRDefault="00E76B92">
          <w:pPr>
            <w:pStyle w:val="Indholdsfortegnelse1"/>
            <w:rPr>
              <w:rFonts w:asciiTheme="minorHAnsi" w:eastAsiaTheme="minorEastAsia" w:hAnsiTheme="minorHAnsi" w:cstheme="minorBidi"/>
              <w:b w:val="0"/>
              <w:caps w:val="0"/>
              <w:noProof/>
              <w:lang w:eastAsia="da-DK"/>
            </w:rPr>
          </w:pPr>
          <w:hyperlink w:anchor="_Toc85189829" w:history="1">
            <w:r w:rsidR="000B7BF9" w:rsidRPr="006461BD">
              <w:rPr>
                <w:rStyle w:val="Hyperlink"/>
                <w:rFonts w:eastAsia="Calibri"/>
                <w:noProof/>
              </w:rPr>
              <w:t>1.</w:t>
            </w:r>
            <w:r w:rsidR="000B7BF9">
              <w:rPr>
                <w:rFonts w:asciiTheme="minorHAnsi" w:eastAsiaTheme="minorEastAsia" w:hAnsiTheme="minorHAnsi" w:cstheme="minorBidi"/>
                <w:b w:val="0"/>
                <w:caps w:val="0"/>
                <w:noProof/>
                <w:lang w:eastAsia="da-DK"/>
              </w:rPr>
              <w:tab/>
            </w:r>
            <w:r w:rsidR="000B7BF9" w:rsidRPr="006461BD">
              <w:rPr>
                <w:rStyle w:val="Hyperlink"/>
                <w:rFonts w:eastAsiaTheme="majorEastAsia"/>
                <w:noProof/>
              </w:rPr>
              <w:t>Indledning</w:t>
            </w:r>
            <w:r w:rsidR="000B7BF9">
              <w:rPr>
                <w:noProof/>
                <w:webHidden/>
              </w:rPr>
              <w:tab/>
            </w:r>
            <w:r w:rsidR="000B7BF9">
              <w:rPr>
                <w:noProof/>
                <w:webHidden/>
              </w:rPr>
              <w:fldChar w:fldCharType="begin"/>
            </w:r>
            <w:r w:rsidR="000B7BF9">
              <w:rPr>
                <w:noProof/>
                <w:webHidden/>
              </w:rPr>
              <w:instrText xml:space="preserve"> PAGEREF _Toc85189829 \h </w:instrText>
            </w:r>
            <w:r w:rsidR="000B7BF9">
              <w:rPr>
                <w:noProof/>
                <w:webHidden/>
              </w:rPr>
            </w:r>
            <w:r w:rsidR="000B7BF9">
              <w:rPr>
                <w:noProof/>
                <w:webHidden/>
              </w:rPr>
              <w:fldChar w:fldCharType="separate"/>
            </w:r>
            <w:r w:rsidR="000B7BF9">
              <w:rPr>
                <w:noProof/>
                <w:webHidden/>
              </w:rPr>
              <w:t>4</w:t>
            </w:r>
            <w:r w:rsidR="000B7BF9">
              <w:rPr>
                <w:noProof/>
                <w:webHidden/>
              </w:rPr>
              <w:fldChar w:fldCharType="end"/>
            </w:r>
          </w:hyperlink>
        </w:p>
        <w:p w14:paraId="2CF340B0" w14:textId="6F39AFD1" w:rsidR="000B7BF9" w:rsidRDefault="00E76B92">
          <w:pPr>
            <w:pStyle w:val="Indholdsfortegnelse1"/>
            <w:rPr>
              <w:rFonts w:asciiTheme="minorHAnsi" w:eastAsiaTheme="minorEastAsia" w:hAnsiTheme="minorHAnsi" w:cstheme="minorBidi"/>
              <w:b w:val="0"/>
              <w:caps w:val="0"/>
              <w:noProof/>
              <w:lang w:eastAsia="da-DK"/>
            </w:rPr>
          </w:pPr>
          <w:hyperlink w:anchor="_Toc85189830" w:history="1">
            <w:r w:rsidR="000B7BF9" w:rsidRPr="006461BD">
              <w:rPr>
                <w:rStyle w:val="Hyperlink"/>
                <w:rFonts w:eastAsia="Calibri"/>
                <w:noProof/>
              </w:rPr>
              <w:t>2.</w:t>
            </w:r>
            <w:r w:rsidR="000B7BF9">
              <w:rPr>
                <w:rFonts w:asciiTheme="minorHAnsi" w:eastAsiaTheme="minorEastAsia" w:hAnsiTheme="minorHAnsi" w:cstheme="minorBidi"/>
                <w:b w:val="0"/>
                <w:caps w:val="0"/>
                <w:noProof/>
                <w:lang w:eastAsia="da-DK"/>
              </w:rPr>
              <w:tab/>
            </w:r>
            <w:r w:rsidR="000B7BF9" w:rsidRPr="006461BD">
              <w:rPr>
                <w:rStyle w:val="Hyperlink"/>
                <w:rFonts w:eastAsiaTheme="majorEastAsia"/>
                <w:noProof/>
              </w:rPr>
              <w:t>Kortlægningsdel</w:t>
            </w:r>
            <w:r w:rsidR="000B7BF9">
              <w:rPr>
                <w:noProof/>
                <w:webHidden/>
              </w:rPr>
              <w:tab/>
            </w:r>
            <w:r w:rsidR="000B7BF9">
              <w:rPr>
                <w:noProof/>
                <w:webHidden/>
              </w:rPr>
              <w:fldChar w:fldCharType="begin"/>
            </w:r>
            <w:r w:rsidR="000B7BF9">
              <w:rPr>
                <w:noProof/>
                <w:webHidden/>
              </w:rPr>
              <w:instrText xml:space="preserve"> PAGEREF _Toc85189830 \h </w:instrText>
            </w:r>
            <w:r w:rsidR="000B7BF9">
              <w:rPr>
                <w:noProof/>
                <w:webHidden/>
              </w:rPr>
            </w:r>
            <w:r w:rsidR="000B7BF9">
              <w:rPr>
                <w:noProof/>
                <w:webHidden/>
              </w:rPr>
              <w:fldChar w:fldCharType="separate"/>
            </w:r>
            <w:r w:rsidR="000B7BF9">
              <w:rPr>
                <w:noProof/>
                <w:webHidden/>
              </w:rPr>
              <w:t>9</w:t>
            </w:r>
            <w:r w:rsidR="000B7BF9">
              <w:rPr>
                <w:noProof/>
                <w:webHidden/>
              </w:rPr>
              <w:fldChar w:fldCharType="end"/>
            </w:r>
          </w:hyperlink>
        </w:p>
        <w:p w14:paraId="0B05713D" w14:textId="27F09473" w:rsidR="000B7BF9" w:rsidRDefault="00E76B92">
          <w:pPr>
            <w:pStyle w:val="Indholdsfortegnelse2"/>
            <w:rPr>
              <w:rFonts w:asciiTheme="minorHAnsi" w:eastAsiaTheme="minorEastAsia" w:hAnsiTheme="minorHAnsi" w:cstheme="minorBidi"/>
              <w:noProof/>
              <w:lang w:eastAsia="da-DK"/>
            </w:rPr>
          </w:pPr>
          <w:hyperlink w:anchor="_Toc85189831" w:history="1">
            <w:r w:rsidR="000B7BF9" w:rsidRPr="006461BD">
              <w:rPr>
                <w:rStyle w:val="Hyperlink"/>
                <w:rFonts w:eastAsiaTheme="majorEastAsia"/>
                <w:noProof/>
              </w:rPr>
              <w:t>2.1</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Opgørelser over mængderne af affald, som produceres i kommunen</w:t>
            </w:r>
            <w:r w:rsidR="000B7BF9">
              <w:rPr>
                <w:noProof/>
                <w:webHidden/>
              </w:rPr>
              <w:tab/>
            </w:r>
            <w:r w:rsidR="000B7BF9">
              <w:rPr>
                <w:noProof/>
                <w:webHidden/>
              </w:rPr>
              <w:fldChar w:fldCharType="begin"/>
            </w:r>
            <w:r w:rsidR="000B7BF9">
              <w:rPr>
                <w:noProof/>
                <w:webHidden/>
              </w:rPr>
              <w:instrText xml:space="preserve"> PAGEREF _Toc85189831 \h </w:instrText>
            </w:r>
            <w:r w:rsidR="000B7BF9">
              <w:rPr>
                <w:noProof/>
                <w:webHidden/>
              </w:rPr>
            </w:r>
            <w:r w:rsidR="000B7BF9">
              <w:rPr>
                <w:noProof/>
                <w:webHidden/>
              </w:rPr>
              <w:fldChar w:fldCharType="separate"/>
            </w:r>
            <w:r w:rsidR="000B7BF9">
              <w:rPr>
                <w:noProof/>
                <w:webHidden/>
              </w:rPr>
              <w:t>9</w:t>
            </w:r>
            <w:r w:rsidR="000B7BF9">
              <w:rPr>
                <w:noProof/>
                <w:webHidden/>
              </w:rPr>
              <w:fldChar w:fldCharType="end"/>
            </w:r>
          </w:hyperlink>
        </w:p>
        <w:p w14:paraId="6AD5E7B5" w14:textId="0A42E82B"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32" w:history="1">
            <w:r w:rsidR="000B7BF9" w:rsidRPr="006461BD">
              <w:rPr>
                <w:rStyle w:val="Hyperlink"/>
                <w:rFonts w:ascii="Calibri Light" w:eastAsia="Calibri" w:hAnsi="Calibri Light"/>
                <w:noProof/>
              </w:rPr>
              <w:t>2.1.1</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Husholdningsaffald</w:t>
            </w:r>
            <w:r w:rsidR="000B7BF9">
              <w:rPr>
                <w:noProof/>
                <w:webHidden/>
              </w:rPr>
              <w:tab/>
            </w:r>
            <w:r w:rsidR="000B7BF9">
              <w:rPr>
                <w:noProof/>
                <w:webHidden/>
              </w:rPr>
              <w:fldChar w:fldCharType="begin"/>
            </w:r>
            <w:r w:rsidR="000B7BF9">
              <w:rPr>
                <w:noProof/>
                <w:webHidden/>
              </w:rPr>
              <w:instrText xml:space="preserve"> PAGEREF _Toc85189832 \h </w:instrText>
            </w:r>
            <w:r w:rsidR="000B7BF9">
              <w:rPr>
                <w:noProof/>
                <w:webHidden/>
              </w:rPr>
            </w:r>
            <w:r w:rsidR="000B7BF9">
              <w:rPr>
                <w:noProof/>
                <w:webHidden/>
              </w:rPr>
              <w:fldChar w:fldCharType="separate"/>
            </w:r>
            <w:r w:rsidR="000B7BF9">
              <w:rPr>
                <w:noProof/>
                <w:webHidden/>
              </w:rPr>
              <w:t>9</w:t>
            </w:r>
            <w:r w:rsidR="000B7BF9">
              <w:rPr>
                <w:noProof/>
                <w:webHidden/>
              </w:rPr>
              <w:fldChar w:fldCharType="end"/>
            </w:r>
          </w:hyperlink>
        </w:p>
        <w:p w14:paraId="2B26ED96" w14:textId="488698BA"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33" w:history="1">
            <w:r w:rsidR="000B7BF9" w:rsidRPr="006461BD">
              <w:rPr>
                <w:rStyle w:val="Hyperlink"/>
                <w:rFonts w:eastAsiaTheme="majorEastAsia"/>
                <w:noProof/>
              </w:rPr>
              <w:t>2.1.2</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Erhvervsaffald</w:t>
            </w:r>
            <w:r w:rsidR="000B7BF9">
              <w:rPr>
                <w:noProof/>
                <w:webHidden/>
              </w:rPr>
              <w:tab/>
            </w:r>
            <w:r w:rsidR="000B7BF9">
              <w:rPr>
                <w:noProof/>
                <w:webHidden/>
              </w:rPr>
              <w:fldChar w:fldCharType="begin"/>
            </w:r>
            <w:r w:rsidR="000B7BF9">
              <w:rPr>
                <w:noProof/>
                <w:webHidden/>
              </w:rPr>
              <w:instrText xml:space="preserve"> PAGEREF _Toc85189833 \h </w:instrText>
            </w:r>
            <w:r w:rsidR="000B7BF9">
              <w:rPr>
                <w:noProof/>
                <w:webHidden/>
              </w:rPr>
            </w:r>
            <w:r w:rsidR="000B7BF9">
              <w:rPr>
                <w:noProof/>
                <w:webHidden/>
              </w:rPr>
              <w:fldChar w:fldCharType="separate"/>
            </w:r>
            <w:r w:rsidR="000B7BF9">
              <w:rPr>
                <w:noProof/>
                <w:webHidden/>
              </w:rPr>
              <w:t>14</w:t>
            </w:r>
            <w:r w:rsidR="000B7BF9">
              <w:rPr>
                <w:noProof/>
                <w:webHidden/>
              </w:rPr>
              <w:fldChar w:fldCharType="end"/>
            </w:r>
          </w:hyperlink>
        </w:p>
        <w:p w14:paraId="0F755D73" w14:textId="607BED36" w:rsidR="000B7BF9" w:rsidRDefault="00E76B92">
          <w:pPr>
            <w:pStyle w:val="Indholdsfortegnelse2"/>
            <w:rPr>
              <w:rFonts w:asciiTheme="minorHAnsi" w:eastAsiaTheme="minorEastAsia" w:hAnsiTheme="minorHAnsi" w:cstheme="minorBidi"/>
              <w:noProof/>
              <w:lang w:eastAsia="da-DK"/>
            </w:rPr>
          </w:pPr>
          <w:hyperlink w:anchor="_Toc85189834" w:history="1">
            <w:r w:rsidR="000B7BF9" w:rsidRPr="006461BD">
              <w:rPr>
                <w:rStyle w:val="Hyperlink"/>
                <w:rFonts w:eastAsiaTheme="majorEastAsia"/>
                <w:noProof/>
              </w:rPr>
              <w:t>2.2</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Opgørelser over mængderne af affald, som eksporteres fra eller importeres til kommunen, fordelt på affaldstyper</w:t>
            </w:r>
            <w:r w:rsidR="000B7BF9">
              <w:rPr>
                <w:noProof/>
                <w:webHidden/>
              </w:rPr>
              <w:tab/>
            </w:r>
            <w:r w:rsidR="000B7BF9">
              <w:rPr>
                <w:noProof/>
                <w:webHidden/>
              </w:rPr>
              <w:fldChar w:fldCharType="begin"/>
            </w:r>
            <w:r w:rsidR="000B7BF9">
              <w:rPr>
                <w:noProof/>
                <w:webHidden/>
              </w:rPr>
              <w:instrText xml:space="preserve"> PAGEREF _Toc85189834 \h </w:instrText>
            </w:r>
            <w:r w:rsidR="000B7BF9">
              <w:rPr>
                <w:noProof/>
                <w:webHidden/>
              </w:rPr>
            </w:r>
            <w:r w:rsidR="000B7BF9">
              <w:rPr>
                <w:noProof/>
                <w:webHidden/>
              </w:rPr>
              <w:fldChar w:fldCharType="separate"/>
            </w:r>
            <w:r w:rsidR="000B7BF9">
              <w:rPr>
                <w:noProof/>
                <w:webHidden/>
              </w:rPr>
              <w:t>16</w:t>
            </w:r>
            <w:r w:rsidR="000B7BF9">
              <w:rPr>
                <w:noProof/>
                <w:webHidden/>
              </w:rPr>
              <w:fldChar w:fldCharType="end"/>
            </w:r>
          </w:hyperlink>
        </w:p>
        <w:p w14:paraId="248EC2F8" w14:textId="2C90AA29" w:rsidR="000B7BF9" w:rsidRDefault="00E76B92">
          <w:pPr>
            <w:pStyle w:val="Indholdsfortegnelse2"/>
            <w:rPr>
              <w:rFonts w:asciiTheme="minorHAnsi" w:eastAsiaTheme="minorEastAsia" w:hAnsiTheme="minorHAnsi" w:cstheme="minorBidi"/>
              <w:noProof/>
              <w:lang w:eastAsia="da-DK"/>
            </w:rPr>
          </w:pPr>
          <w:hyperlink w:anchor="_Toc85189835" w:history="1">
            <w:r w:rsidR="000B7BF9" w:rsidRPr="006461BD">
              <w:rPr>
                <w:rStyle w:val="Hyperlink"/>
                <w:rFonts w:eastAsiaTheme="majorEastAsia"/>
                <w:noProof/>
              </w:rPr>
              <w:t>2.3</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Oversigt over og beskrivelser af indsamlings- og anvisningsordninger for affald</w:t>
            </w:r>
            <w:r w:rsidR="000B7BF9">
              <w:rPr>
                <w:noProof/>
                <w:webHidden/>
              </w:rPr>
              <w:tab/>
            </w:r>
            <w:r w:rsidR="000B7BF9">
              <w:rPr>
                <w:noProof/>
                <w:webHidden/>
              </w:rPr>
              <w:fldChar w:fldCharType="begin"/>
            </w:r>
            <w:r w:rsidR="000B7BF9">
              <w:rPr>
                <w:noProof/>
                <w:webHidden/>
              </w:rPr>
              <w:instrText xml:space="preserve"> PAGEREF _Toc85189835 \h </w:instrText>
            </w:r>
            <w:r w:rsidR="000B7BF9">
              <w:rPr>
                <w:noProof/>
                <w:webHidden/>
              </w:rPr>
            </w:r>
            <w:r w:rsidR="000B7BF9">
              <w:rPr>
                <w:noProof/>
                <w:webHidden/>
              </w:rPr>
              <w:fldChar w:fldCharType="separate"/>
            </w:r>
            <w:r w:rsidR="000B7BF9">
              <w:rPr>
                <w:noProof/>
                <w:webHidden/>
              </w:rPr>
              <w:t>17</w:t>
            </w:r>
            <w:r w:rsidR="000B7BF9">
              <w:rPr>
                <w:noProof/>
                <w:webHidden/>
              </w:rPr>
              <w:fldChar w:fldCharType="end"/>
            </w:r>
          </w:hyperlink>
        </w:p>
        <w:p w14:paraId="13DA74CB" w14:textId="3DD61E93"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36" w:history="1">
            <w:r w:rsidR="000B7BF9" w:rsidRPr="006461BD">
              <w:rPr>
                <w:rStyle w:val="Hyperlink"/>
                <w:rFonts w:eastAsiaTheme="majorEastAsia"/>
                <w:noProof/>
              </w:rPr>
              <w:t>2.3.1</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Indsamlingsordninger i form af henteordninger</w:t>
            </w:r>
            <w:r w:rsidR="000B7BF9">
              <w:rPr>
                <w:noProof/>
                <w:webHidden/>
              </w:rPr>
              <w:tab/>
            </w:r>
            <w:r w:rsidR="000B7BF9">
              <w:rPr>
                <w:noProof/>
                <w:webHidden/>
              </w:rPr>
              <w:fldChar w:fldCharType="begin"/>
            </w:r>
            <w:r w:rsidR="000B7BF9">
              <w:rPr>
                <w:noProof/>
                <w:webHidden/>
              </w:rPr>
              <w:instrText xml:space="preserve"> PAGEREF _Toc85189836 \h </w:instrText>
            </w:r>
            <w:r w:rsidR="000B7BF9">
              <w:rPr>
                <w:noProof/>
                <w:webHidden/>
              </w:rPr>
            </w:r>
            <w:r w:rsidR="000B7BF9">
              <w:rPr>
                <w:noProof/>
                <w:webHidden/>
              </w:rPr>
              <w:fldChar w:fldCharType="separate"/>
            </w:r>
            <w:r w:rsidR="000B7BF9">
              <w:rPr>
                <w:noProof/>
                <w:webHidden/>
              </w:rPr>
              <w:t>17</w:t>
            </w:r>
            <w:r w:rsidR="000B7BF9">
              <w:rPr>
                <w:noProof/>
                <w:webHidden/>
              </w:rPr>
              <w:fldChar w:fldCharType="end"/>
            </w:r>
          </w:hyperlink>
        </w:p>
        <w:p w14:paraId="3EBF5B46" w14:textId="123AC22E"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37" w:history="1">
            <w:r w:rsidR="000B7BF9" w:rsidRPr="006461BD">
              <w:rPr>
                <w:rStyle w:val="Hyperlink"/>
                <w:rFonts w:eastAsiaTheme="majorEastAsia"/>
                <w:noProof/>
              </w:rPr>
              <w:t>2.3.2</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Indsamlingsordninger i form af bringeordninger</w:t>
            </w:r>
            <w:r w:rsidR="000B7BF9">
              <w:rPr>
                <w:noProof/>
                <w:webHidden/>
              </w:rPr>
              <w:tab/>
            </w:r>
            <w:r w:rsidR="000B7BF9">
              <w:rPr>
                <w:noProof/>
                <w:webHidden/>
              </w:rPr>
              <w:fldChar w:fldCharType="begin"/>
            </w:r>
            <w:r w:rsidR="000B7BF9">
              <w:rPr>
                <w:noProof/>
                <w:webHidden/>
              </w:rPr>
              <w:instrText xml:space="preserve"> PAGEREF _Toc85189837 \h </w:instrText>
            </w:r>
            <w:r w:rsidR="000B7BF9">
              <w:rPr>
                <w:noProof/>
                <w:webHidden/>
              </w:rPr>
            </w:r>
            <w:r w:rsidR="000B7BF9">
              <w:rPr>
                <w:noProof/>
                <w:webHidden/>
              </w:rPr>
              <w:fldChar w:fldCharType="separate"/>
            </w:r>
            <w:r w:rsidR="000B7BF9">
              <w:rPr>
                <w:noProof/>
                <w:webHidden/>
              </w:rPr>
              <w:t>17</w:t>
            </w:r>
            <w:r w:rsidR="000B7BF9">
              <w:rPr>
                <w:noProof/>
                <w:webHidden/>
              </w:rPr>
              <w:fldChar w:fldCharType="end"/>
            </w:r>
          </w:hyperlink>
        </w:p>
        <w:p w14:paraId="4E1D69DD" w14:textId="4363DE54"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38" w:history="1">
            <w:r w:rsidR="000B7BF9" w:rsidRPr="006461BD">
              <w:rPr>
                <w:rStyle w:val="Hyperlink"/>
                <w:rFonts w:eastAsiaTheme="majorEastAsia"/>
                <w:noProof/>
              </w:rPr>
              <w:t>2.3.3</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Anvisningsordninger</w:t>
            </w:r>
            <w:r w:rsidR="000B7BF9">
              <w:rPr>
                <w:noProof/>
                <w:webHidden/>
              </w:rPr>
              <w:tab/>
            </w:r>
            <w:r w:rsidR="000B7BF9">
              <w:rPr>
                <w:noProof/>
                <w:webHidden/>
              </w:rPr>
              <w:fldChar w:fldCharType="begin"/>
            </w:r>
            <w:r w:rsidR="000B7BF9">
              <w:rPr>
                <w:noProof/>
                <w:webHidden/>
              </w:rPr>
              <w:instrText xml:space="preserve"> PAGEREF _Toc85189838 \h </w:instrText>
            </w:r>
            <w:r w:rsidR="000B7BF9">
              <w:rPr>
                <w:noProof/>
                <w:webHidden/>
              </w:rPr>
            </w:r>
            <w:r w:rsidR="000B7BF9">
              <w:rPr>
                <w:noProof/>
                <w:webHidden/>
              </w:rPr>
              <w:fldChar w:fldCharType="separate"/>
            </w:r>
            <w:r w:rsidR="000B7BF9">
              <w:rPr>
                <w:noProof/>
                <w:webHidden/>
              </w:rPr>
              <w:t>17</w:t>
            </w:r>
            <w:r w:rsidR="000B7BF9">
              <w:rPr>
                <w:noProof/>
                <w:webHidden/>
              </w:rPr>
              <w:fldChar w:fldCharType="end"/>
            </w:r>
          </w:hyperlink>
        </w:p>
        <w:p w14:paraId="59733088" w14:textId="672B8CFE" w:rsidR="000B7BF9" w:rsidRDefault="00E76B92">
          <w:pPr>
            <w:pStyle w:val="Indholdsfortegnelse2"/>
            <w:rPr>
              <w:rFonts w:asciiTheme="minorHAnsi" w:eastAsiaTheme="minorEastAsia" w:hAnsiTheme="minorHAnsi" w:cstheme="minorBidi"/>
              <w:noProof/>
              <w:lang w:eastAsia="da-DK"/>
            </w:rPr>
          </w:pPr>
          <w:hyperlink w:anchor="_Toc85189839" w:history="1">
            <w:r w:rsidR="000B7BF9" w:rsidRPr="006461BD">
              <w:rPr>
                <w:rStyle w:val="Hyperlink"/>
                <w:rFonts w:eastAsiaTheme="majorEastAsia"/>
                <w:noProof/>
              </w:rPr>
              <w:t>2.4</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Oversigt over og beskrivelser af deponerings- og forbrændingsanlæg, som kommunalbestyrelsen anvender eller anviser til</w:t>
            </w:r>
            <w:r w:rsidR="000B7BF9">
              <w:rPr>
                <w:noProof/>
                <w:webHidden/>
              </w:rPr>
              <w:tab/>
            </w:r>
            <w:r w:rsidR="000B7BF9">
              <w:rPr>
                <w:noProof/>
                <w:webHidden/>
              </w:rPr>
              <w:fldChar w:fldCharType="begin"/>
            </w:r>
            <w:r w:rsidR="000B7BF9">
              <w:rPr>
                <w:noProof/>
                <w:webHidden/>
              </w:rPr>
              <w:instrText xml:space="preserve"> PAGEREF _Toc85189839 \h </w:instrText>
            </w:r>
            <w:r w:rsidR="000B7BF9">
              <w:rPr>
                <w:noProof/>
                <w:webHidden/>
              </w:rPr>
            </w:r>
            <w:r w:rsidR="000B7BF9">
              <w:rPr>
                <w:noProof/>
                <w:webHidden/>
              </w:rPr>
              <w:fldChar w:fldCharType="separate"/>
            </w:r>
            <w:r w:rsidR="000B7BF9">
              <w:rPr>
                <w:noProof/>
                <w:webHidden/>
              </w:rPr>
              <w:t>18</w:t>
            </w:r>
            <w:r w:rsidR="000B7BF9">
              <w:rPr>
                <w:noProof/>
                <w:webHidden/>
              </w:rPr>
              <w:fldChar w:fldCharType="end"/>
            </w:r>
          </w:hyperlink>
        </w:p>
        <w:p w14:paraId="3319A4CD" w14:textId="62B451EB" w:rsidR="000B7BF9" w:rsidRDefault="00E76B92">
          <w:pPr>
            <w:pStyle w:val="Indholdsfortegnelse2"/>
            <w:rPr>
              <w:rFonts w:asciiTheme="minorHAnsi" w:eastAsiaTheme="minorEastAsia" w:hAnsiTheme="minorHAnsi" w:cstheme="minorBidi"/>
              <w:noProof/>
              <w:lang w:eastAsia="da-DK"/>
            </w:rPr>
          </w:pPr>
          <w:hyperlink w:anchor="_Toc85189840" w:history="1">
            <w:r w:rsidR="000B7BF9" w:rsidRPr="006461BD">
              <w:rPr>
                <w:rStyle w:val="Hyperlink"/>
                <w:rFonts w:eastAsiaTheme="majorEastAsia"/>
                <w:noProof/>
              </w:rPr>
              <w:t>2.5</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Oplysninger om sorterings- og behandlingsanlæg m.v., som kommunalbestyrelsen anvender eller anviser til</w:t>
            </w:r>
            <w:r w:rsidR="000B7BF9">
              <w:rPr>
                <w:noProof/>
                <w:webHidden/>
              </w:rPr>
              <w:tab/>
            </w:r>
            <w:r w:rsidR="000B7BF9">
              <w:rPr>
                <w:noProof/>
                <w:webHidden/>
              </w:rPr>
              <w:fldChar w:fldCharType="begin"/>
            </w:r>
            <w:r w:rsidR="000B7BF9">
              <w:rPr>
                <w:noProof/>
                <w:webHidden/>
              </w:rPr>
              <w:instrText xml:space="preserve"> PAGEREF _Toc85189840 \h </w:instrText>
            </w:r>
            <w:r w:rsidR="000B7BF9">
              <w:rPr>
                <w:noProof/>
                <w:webHidden/>
              </w:rPr>
            </w:r>
            <w:r w:rsidR="000B7BF9">
              <w:rPr>
                <w:noProof/>
                <w:webHidden/>
              </w:rPr>
              <w:fldChar w:fldCharType="separate"/>
            </w:r>
            <w:r w:rsidR="000B7BF9">
              <w:rPr>
                <w:noProof/>
                <w:webHidden/>
              </w:rPr>
              <w:t>18</w:t>
            </w:r>
            <w:r w:rsidR="000B7BF9">
              <w:rPr>
                <w:noProof/>
                <w:webHidden/>
              </w:rPr>
              <w:fldChar w:fldCharType="end"/>
            </w:r>
          </w:hyperlink>
        </w:p>
        <w:p w14:paraId="79D42CAD" w14:textId="54EC7100" w:rsidR="000B7BF9" w:rsidRDefault="00E76B92">
          <w:pPr>
            <w:pStyle w:val="Indholdsfortegnelse2"/>
            <w:rPr>
              <w:rFonts w:asciiTheme="minorHAnsi" w:eastAsiaTheme="minorEastAsia" w:hAnsiTheme="minorHAnsi" w:cstheme="minorBidi"/>
              <w:noProof/>
              <w:lang w:eastAsia="da-DK"/>
            </w:rPr>
          </w:pPr>
          <w:hyperlink w:anchor="_Toc85189841" w:history="1">
            <w:r w:rsidR="000B7BF9" w:rsidRPr="006461BD">
              <w:rPr>
                <w:rStyle w:val="Hyperlink"/>
                <w:rFonts w:eastAsiaTheme="majorEastAsia"/>
                <w:noProof/>
              </w:rPr>
              <w:t>2.6</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Oplysninger om kommunalbestyrelsens omkostninger ved håndtering af affald fordelt på ordninger for husholdninger og virksomheder</w:t>
            </w:r>
            <w:r w:rsidR="000B7BF9">
              <w:rPr>
                <w:noProof/>
                <w:webHidden/>
              </w:rPr>
              <w:tab/>
            </w:r>
            <w:r w:rsidR="000B7BF9">
              <w:rPr>
                <w:noProof/>
                <w:webHidden/>
              </w:rPr>
              <w:fldChar w:fldCharType="begin"/>
            </w:r>
            <w:r w:rsidR="000B7BF9">
              <w:rPr>
                <w:noProof/>
                <w:webHidden/>
              </w:rPr>
              <w:instrText xml:space="preserve"> PAGEREF _Toc85189841 \h </w:instrText>
            </w:r>
            <w:r w:rsidR="000B7BF9">
              <w:rPr>
                <w:noProof/>
                <w:webHidden/>
              </w:rPr>
            </w:r>
            <w:r w:rsidR="000B7BF9">
              <w:rPr>
                <w:noProof/>
                <w:webHidden/>
              </w:rPr>
              <w:fldChar w:fldCharType="separate"/>
            </w:r>
            <w:r w:rsidR="000B7BF9">
              <w:rPr>
                <w:noProof/>
                <w:webHidden/>
              </w:rPr>
              <w:t>19</w:t>
            </w:r>
            <w:r w:rsidR="000B7BF9">
              <w:rPr>
                <w:noProof/>
                <w:webHidden/>
              </w:rPr>
              <w:fldChar w:fldCharType="end"/>
            </w:r>
          </w:hyperlink>
        </w:p>
        <w:p w14:paraId="5BC2F1BE" w14:textId="702E2CCB" w:rsidR="000B7BF9" w:rsidRDefault="00E76B92">
          <w:pPr>
            <w:pStyle w:val="Indholdsfortegnelse1"/>
            <w:rPr>
              <w:rFonts w:asciiTheme="minorHAnsi" w:eastAsiaTheme="minorEastAsia" w:hAnsiTheme="minorHAnsi" w:cstheme="minorBidi"/>
              <w:b w:val="0"/>
              <w:caps w:val="0"/>
              <w:noProof/>
              <w:lang w:eastAsia="da-DK"/>
            </w:rPr>
          </w:pPr>
          <w:hyperlink w:anchor="_Toc85189842" w:history="1">
            <w:r w:rsidR="000B7BF9" w:rsidRPr="006461BD">
              <w:rPr>
                <w:rStyle w:val="Hyperlink"/>
                <w:rFonts w:eastAsiaTheme="majorEastAsia"/>
                <w:noProof/>
              </w:rPr>
              <w:t>3.</w:t>
            </w:r>
            <w:r w:rsidR="000B7BF9">
              <w:rPr>
                <w:rFonts w:asciiTheme="minorHAnsi" w:eastAsiaTheme="minorEastAsia" w:hAnsiTheme="minorHAnsi" w:cstheme="minorBidi"/>
                <w:b w:val="0"/>
                <w:caps w:val="0"/>
                <w:noProof/>
                <w:lang w:eastAsia="da-DK"/>
              </w:rPr>
              <w:tab/>
            </w:r>
            <w:r w:rsidR="000B7BF9" w:rsidRPr="006461BD">
              <w:rPr>
                <w:rStyle w:val="Hyperlink"/>
                <w:rFonts w:eastAsiaTheme="majorEastAsia"/>
                <w:noProof/>
              </w:rPr>
              <w:t>Målsætningsdel</w:t>
            </w:r>
            <w:r w:rsidR="000B7BF9">
              <w:rPr>
                <w:noProof/>
                <w:webHidden/>
              </w:rPr>
              <w:tab/>
            </w:r>
            <w:r w:rsidR="000B7BF9">
              <w:rPr>
                <w:noProof/>
                <w:webHidden/>
              </w:rPr>
              <w:fldChar w:fldCharType="begin"/>
            </w:r>
            <w:r w:rsidR="000B7BF9">
              <w:rPr>
                <w:noProof/>
                <w:webHidden/>
              </w:rPr>
              <w:instrText xml:space="preserve"> PAGEREF _Toc85189842 \h </w:instrText>
            </w:r>
            <w:r w:rsidR="000B7BF9">
              <w:rPr>
                <w:noProof/>
                <w:webHidden/>
              </w:rPr>
            </w:r>
            <w:r w:rsidR="000B7BF9">
              <w:rPr>
                <w:noProof/>
                <w:webHidden/>
              </w:rPr>
              <w:fldChar w:fldCharType="separate"/>
            </w:r>
            <w:r w:rsidR="000B7BF9">
              <w:rPr>
                <w:noProof/>
                <w:webHidden/>
              </w:rPr>
              <w:t>20</w:t>
            </w:r>
            <w:r w:rsidR="000B7BF9">
              <w:rPr>
                <w:noProof/>
                <w:webHidden/>
              </w:rPr>
              <w:fldChar w:fldCharType="end"/>
            </w:r>
          </w:hyperlink>
        </w:p>
        <w:p w14:paraId="60C0DA77" w14:textId="591C0557" w:rsidR="000B7BF9" w:rsidRDefault="00E76B92">
          <w:pPr>
            <w:pStyle w:val="Indholdsfortegnelse2"/>
            <w:rPr>
              <w:rFonts w:asciiTheme="minorHAnsi" w:eastAsiaTheme="minorEastAsia" w:hAnsiTheme="minorHAnsi" w:cstheme="minorBidi"/>
              <w:noProof/>
              <w:lang w:eastAsia="da-DK"/>
            </w:rPr>
          </w:pPr>
          <w:hyperlink w:anchor="_Toc85189843" w:history="1">
            <w:r w:rsidR="000B7BF9" w:rsidRPr="006461BD">
              <w:rPr>
                <w:rStyle w:val="Hyperlink"/>
                <w:rFonts w:eastAsiaTheme="majorEastAsia"/>
                <w:noProof/>
              </w:rPr>
              <w:t>3.1</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Forberedelse med henblik på genbrug</w:t>
            </w:r>
            <w:r w:rsidR="000B7BF9">
              <w:rPr>
                <w:noProof/>
                <w:webHidden/>
              </w:rPr>
              <w:tab/>
            </w:r>
            <w:r w:rsidR="000B7BF9">
              <w:rPr>
                <w:noProof/>
                <w:webHidden/>
              </w:rPr>
              <w:fldChar w:fldCharType="begin"/>
            </w:r>
            <w:r w:rsidR="000B7BF9">
              <w:rPr>
                <w:noProof/>
                <w:webHidden/>
              </w:rPr>
              <w:instrText xml:space="preserve"> PAGEREF _Toc85189843 \h </w:instrText>
            </w:r>
            <w:r w:rsidR="000B7BF9">
              <w:rPr>
                <w:noProof/>
                <w:webHidden/>
              </w:rPr>
            </w:r>
            <w:r w:rsidR="000B7BF9">
              <w:rPr>
                <w:noProof/>
                <w:webHidden/>
              </w:rPr>
              <w:fldChar w:fldCharType="separate"/>
            </w:r>
            <w:r w:rsidR="000B7BF9">
              <w:rPr>
                <w:noProof/>
                <w:webHidden/>
              </w:rPr>
              <w:t>20</w:t>
            </w:r>
            <w:r w:rsidR="000B7BF9">
              <w:rPr>
                <w:noProof/>
                <w:webHidden/>
              </w:rPr>
              <w:fldChar w:fldCharType="end"/>
            </w:r>
          </w:hyperlink>
        </w:p>
        <w:p w14:paraId="6189FC44" w14:textId="66832C42" w:rsidR="000B7BF9" w:rsidRDefault="00E76B92">
          <w:pPr>
            <w:pStyle w:val="Indholdsfortegnelse2"/>
            <w:rPr>
              <w:rFonts w:asciiTheme="minorHAnsi" w:eastAsiaTheme="minorEastAsia" w:hAnsiTheme="minorHAnsi" w:cstheme="minorBidi"/>
              <w:noProof/>
              <w:lang w:eastAsia="da-DK"/>
            </w:rPr>
          </w:pPr>
          <w:hyperlink w:anchor="_Toc85189844" w:history="1">
            <w:r w:rsidR="000B7BF9" w:rsidRPr="006461BD">
              <w:rPr>
                <w:rStyle w:val="Hyperlink"/>
                <w:rFonts w:eastAsiaTheme="majorEastAsia"/>
                <w:noProof/>
              </w:rPr>
              <w:t>3.2</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Genanvendelse</w:t>
            </w:r>
            <w:r w:rsidR="000B7BF9">
              <w:rPr>
                <w:noProof/>
                <w:webHidden/>
              </w:rPr>
              <w:tab/>
            </w:r>
            <w:r w:rsidR="000B7BF9">
              <w:rPr>
                <w:noProof/>
                <w:webHidden/>
              </w:rPr>
              <w:fldChar w:fldCharType="begin"/>
            </w:r>
            <w:r w:rsidR="000B7BF9">
              <w:rPr>
                <w:noProof/>
                <w:webHidden/>
              </w:rPr>
              <w:instrText xml:space="preserve"> PAGEREF _Toc85189844 \h </w:instrText>
            </w:r>
            <w:r w:rsidR="000B7BF9">
              <w:rPr>
                <w:noProof/>
                <w:webHidden/>
              </w:rPr>
            </w:r>
            <w:r w:rsidR="000B7BF9">
              <w:rPr>
                <w:noProof/>
                <w:webHidden/>
              </w:rPr>
              <w:fldChar w:fldCharType="separate"/>
            </w:r>
            <w:r w:rsidR="000B7BF9">
              <w:rPr>
                <w:noProof/>
                <w:webHidden/>
              </w:rPr>
              <w:t>20</w:t>
            </w:r>
            <w:r w:rsidR="000B7BF9">
              <w:rPr>
                <w:noProof/>
                <w:webHidden/>
              </w:rPr>
              <w:fldChar w:fldCharType="end"/>
            </w:r>
          </w:hyperlink>
        </w:p>
        <w:p w14:paraId="059FB245" w14:textId="18144737" w:rsidR="000B7BF9" w:rsidRDefault="00E76B92">
          <w:pPr>
            <w:pStyle w:val="Indholdsfortegnelse2"/>
            <w:rPr>
              <w:rFonts w:asciiTheme="minorHAnsi" w:eastAsiaTheme="minorEastAsia" w:hAnsiTheme="minorHAnsi" w:cstheme="minorBidi"/>
              <w:noProof/>
              <w:lang w:eastAsia="da-DK"/>
            </w:rPr>
          </w:pPr>
          <w:hyperlink w:anchor="_Toc85189845" w:history="1">
            <w:r w:rsidR="000B7BF9" w:rsidRPr="006461BD">
              <w:rPr>
                <w:rStyle w:val="Hyperlink"/>
                <w:rFonts w:eastAsiaTheme="majorEastAsia"/>
                <w:noProof/>
              </w:rPr>
              <w:t>3.3</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Anden nyttiggørelse</w:t>
            </w:r>
            <w:r w:rsidR="000B7BF9">
              <w:rPr>
                <w:noProof/>
                <w:webHidden/>
              </w:rPr>
              <w:tab/>
            </w:r>
            <w:r w:rsidR="000B7BF9">
              <w:rPr>
                <w:noProof/>
                <w:webHidden/>
              </w:rPr>
              <w:fldChar w:fldCharType="begin"/>
            </w:r>
            <w:r w:rsidR="000B7BF9">
              <w:rPr>
                <w:noProof/>
                <w:webHidden/>
              </w:rPr>
              <w:instrText xml:space="preserve"> PAGEREF _Toc85189845 \h </w:instrText>
            </w:r>
            <w:r w:rsidR="000B7BF9">
              <w:rPr>
                <w:noProof/>
                <w:webHidden/>
              </w:rPr>
            </w:r>
            <w:r w:rsidR="000B7BF9">
              <w:rPr>
                <w:noProof/>
                <w:webHidden/>
              </w:rPr>
              <w:fldChar w:fldCharType="separate"/>
            </w:r>
            <w:r w:rsidR="000B7BF9">
              <w:rPr>
                <w:noProof/>
                <w:webHidden/>
              </w:rPr>
              <w:t>21</w:t>
            </w:r>
            <w:r w:rsidR="000B7BF9">
              <w:rPr>
                <w:noProof/>
                <w:webHidden/>
              </w:rPr>
              <w:fldChar w:fldCharType="end"/>
            </w:r>
          </w:hyperlink>
        </w:p>
        <w:p w14:paraId="5A86B451" w14:textId="6F271F2B" w:rsidR="000B7BF9" w:rsidRDefault="00E76B92">
          <w:pPr>
            <w:pStyle w:val="Indholdsfortegnelse2"/>
            <w:rPr>
              <w:rFonts w:asciiTheme="minorHAnsi" w:eastAsiaTheme="minorEastAsia" w:hAnsiTheme="minorHAnsi" w:cstheme="minorBidi"/>
              <w:noProof/>
              <w:lang w:eastAsia="da-DK"/>
            </w:rPr>
          </w:pPr>
          <w:hyperlink w:anchor="_Toc85189846" w:history="1">
            <w:r w:rsidR="000B7BF9" w:rsidRPr="006461BD">
              <w:rPr>
                <w:rStyle w:val="Hyperlink"/>
                <w:rFonts w:eastAsiaTheme="majorEastAsia"/>
                <w:noProof/>
              </w:rPr>
              <w:t>3.4</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Bortskaffelse</w:t>
            </w:r>
            <w:r w:rsidR="000B7BF9">
              <w:rPr>
                <w:noProof/>
                <w:webHidden/>
              </w:rPr>
              <w:tab/>
            </w:r>
            <w:r w:rsidR="000B7BF9">
              <w:rPr>
                <w:noProof/>
                <w:webHidden/>
              </w:rPr>
              <w:fldChar w:fldCharType="begin"/>
            </w:r>
            <w:r w:rsidR="000B7BF9">
              <w:rPr>
                <w:noProof/>
                <w:webHidden/>
              </w:rPr>
              <w:instrText xml:space="preserve"> PAGEREF _Toc85189846 \h </w:instrText>
            </w:r>
            <w:r w:rsidR="000B7BF9">
              <w:rPr>
                <w:noProof/>
                <w:webHidden/>
              </w:rPr>
            </w:r>
            <w:r w:rsidR="000B7BF9">
              <w:rPr>
                <w:noProof/>
                <w:webHidden/>
              </w:rPr>
              <w:fldChar w:fldCharType="separate"/>
            </w:r>
            <w:r w:rsidR="000B7BF9">
              <w:rPr>
                <w:noProof/>
                <w:webHidden/>
              </w:rPr>
              <w:t>21</w:t>
            </w:r>
            <w:r w:rsidR="000B7BF9">
              <w:rPr>
                <w:noProof/>
                <w:webHidden/>
              </w:rPr>
              <w:fldChar w:fldCharType="end"/>
            </w:r>
          </w:hyperlink>
        </w:p>
        <w:p w14:paraId="7CC06A8D" w14:textId="790BD978" w:rsidR="000B7BF9" w:rsidRDefault="00E76B92">
          <w:pPr>
            <w:pStyle w:val="Indholdsfortegnelse2"/>
            <w:rPr>
              <w:rFonts w:asciiTheme="minorHAnsi" w:eastAsiaTheme="minorEastAsia" w:hAnsiTheme="minorHAnsi" w:cstheme="minorBidi"/>
              <w:noProof/>
              <w:lang w:eastAsia="da-DK"/>
            </w:rPr>
          </w:pPr>
          <w:hyperlink w:anchor="_Toc85189847" w:history="1">
            <w:r w:rsidR="000B7BF9" w:rsidRPr="006461BD">
              <w:rPr>
                <w:rStyle w:val="Hyperlink"/>
                <w:rFonts w:eastAsiaTheme="majorEastAsia"/>
                <w:noProof/>
              </w:rPr>
              <w:t>3.5</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Overvejelser vedr. kommunens bidrag til affaldsforebyggelse</w:t>
            </w:r>
            <w:r w:rsidR="000B7BF9">
              <w:rPr>
                <w:noProof/>
                <w:webHidden/>
              </w:rPr>
              <w:tab/>
            </w:r>
            <w:r w:rsidR="000B7BF9">
              <w:rPr>
                <w:noProof/>
                <w:webHidden/>
              </w:rPr>
              <w:fldChar w:fldCharType="begin"/>
            </w:r>
            <w:r w:rsidR="000B7BF9">
              <w:rPr>
                <w:noProof/>
                <w:webHidden/>
              </w:rPr>
              <w:instrText xml:space="preserve"> PAGEREF _Toc85189847 \h </w:instrText>
            </w:r>
            <w:r w:rsidR="000B7BF9">
              <w:rPr>
                <w:noProof/>
                <w:webHidden/>
              </w:rPr>
            </w:r>
            <w:r w:rsidR="000B7BF9">
              <w:rPr>
                <w:noProof/>
                <w:webHidden/>
              </w:rPr>
              <w:fldChar w:fldCharType="separate"/>
            </w:r>
            <w:r w:rsidR="000B7BF9">
              <w:rPr>
                <w:noProof/>
                <w:webHidden/>
              </w:rPr>
              <w:t>21</w:t>
            </w:r>
            <w:r w:rsidR="000B7BF9">
              <w:rPr>
                <w:noProof/>
                <w:webHidden/>
              </w:rPr>
              <w:fldChar w:fldCharType="end"/>
            </w:r>
          </w:hyperlink>
        </w:p>
        <w:p w14:paraId="7CC4AF56" w14:textId="3AE303FE" w:rsidR="000B7BF9" w:rsidRDefault="00E76B92">
          <w:pPr>
            <w:pStyle w:val="Indholdsfortegnelse1"/>
            <w:rPr>
              <w:rFonts w:asciiTheme="minorHAnsi" w:eastAsiaTheme="minorEastAsia" w:hAnsiTheme="minorHAnsi" w:cstheme="minorBidi"/>
              <w:b w:val="0"/>
              <w:caps w:val="0"/>
              <w:noProof/>
              <w:lang w:eastAsia="da-DK"/>
            </w:rPr>
          </w:pPr>
          <w:hyperlink w:anchor="_Toc85189848" w:history="1">
            <w:r w:rsidR="000B7BF9" w:rsidRPr="006461BD">
              <w:rPr>
                <w:rStyle w:val="Hyperlink"/>
                <w:rFonts w:eastAsiaTheme="majorEastAsia"/>
                <w:noProof/>
              </w:rPr>
              <w:t>4.</w:t>
            </w:r>
            <w:r w:rsidR="000B7BF9">
              <w:rPr>
                <w:rFonts w:asciiTheme="minorHAnsi" w:eastAsiaTheme="minorEastAsia" w:hAnsiTheme="minorHAnsi" w:cstheme="minorBidi"/>
                <w:b w:val="0"/>
                <w:caps w:val="0"/>
                <w:noProof/>
                <w:lang w:eastAsia="da-DK"/>
              </w:rPr>
              <w:tab/>
            </w:r>
            <w:r w:rsidR="000B7BF9" w:rsidRPr="006461BD">
              <w:rPr>
                <w:rStyle w:val="Hyperlink"/>
                <w:rFonts w:eastAsiaTheme="majorEastAsia"/>
                <w:noProof/>
              </w:rPr>
              <w:t>Planlægningsdel</w:t>
            </w:r>
            <w:r w:rsidR="000B7BF9">
              <w:rPr>
                <w:noProof/>
                <w:webHidden/>
              </w:rPr>
              <w:tab/>
            </w:r>
            <w:r w:rsidR="000B7BF9">
              <w:rPr>
                <w:noProof/>
                <w:webHidden/>
              </w:rPr>
              <w:fldChar w:fldCharType="begin"/>
            </w:r>
            <w:r w:rsidR="000B7BF9">
              <w:rPr>
                <w:noProof/>
                <w:webHidden/>
              </w:rPr>
              <w:instrText xml:space="preserve"> PAGEREF _Toc85189848 \h </w:instrText>
            </w:r>
            <w:r w:rsidR="000B7BF9">
              <w:rPr>
                <w:noProof/>
                <w:webHidden/>
              </w:rPr>
            </w:r>
            <w:r w:rsidR="000B7BF9">
              <w:rPr>
                <w:noProof/>
                <w:webHidden/>
              </w:rPr>
              <w:fldChar w:fldCharType="separate"/>
            </w:r>
            <w:r w:rsidR="000B7BF9">
              <w:rPr>
                <w:noProof/>
                <w:webHidden/>
              </w:rPr>
              <w:t>24</w:t>
            </w:r>
            <w:r w:rsidR="000B7BF9">
              <w:rPr>
                <w:noProof/>
                <w:webHidden/>
              </w:rPr>
              <w:fldChar w:fldCharType="end"/>
            </w:r>
          </w:hyperlink>
        </w:p>
        <w:p w14:paraId="208769DC" w14:textId="6B6FBE39" w:rsidR="000B7BF9" w:rsidRDefault="00E76B92">
          <w:pPr>
            <w:pStyle w:val="Indholdsfortegnelse2"/>
            <w:rPr>
              <w:rFonts w:asciiTheme="minorHAnsi" w:eastAsiaTheme="minorEastAsia" w:hAnsiTheme="minorHAnsi" w:cstheme="minorBidi"/>
              <w:noProof/>
              <w:lang w:eastAsia="da-DK"/>
            </w:rPr>
          </w:pPr>
          <w:hyperlink w:anchor="_Toc85189849" w:history="1">
            <w:r w:rsidR="000B7BF9" w:rsidRPr="006461BD">
              <w:rPr>
                <w:rStyle w:val="Hyperlink"/>
                <w:rFonts w:eastAsiaTheme="majorEastAsia"/>
                <w:noProof/>
              </w:rPr>
              <w:t>4.1</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Skøn over de fremtidige affaldsmængder i kommunen</w:t>
            </w:r>
            <w:r w:rsidR="000B7BF9">
              <w:rPr>
                <w:noProof/>
                <w:webHidden/>
              </w:rPr>
              <w:tab/>
            </w:r>
            <w:r w:rsidR="000B7BF9">
              <w:rPr>
                <w:noProof/>
                <w:webHidden/>
              </w:rPr>
              <w:fldChar w:fldCharType="begin"/>
            </w:r>
            <w:r w:rsidR="000B7BF9">
              <w:rPr>
                <w:noProof/>
                <w:webHidden/>
              </w:rPr>
              <w:instrText xml:space="preserve"> PAGEREF _Toc85189849 \h </w:instrText>
            </w:r>
            <w:r w:rsidR="000B7BF9">
              <w:rPr>
                <w:noProof/>
                <w:webHidden/>
              </w:rPr>
            </w:r>
            <w:r w:rsidR="000B7BF9">
              <w:rPr>
                <w:noProof/>
                <w:webHidden/>
              </w:rPr>
              <w:fldChar w:fldCharType="separate"/>
            </w:r>
            <w:r w:rsidR="000B7BF9">
              <w:rPr>
                <w:noProof/>
                <w:webHidden/>
              </w:rPr>
              <w:t>24</w:t>
            </w:r>
            <w:r w:rsidR="000B7BF9">
              <w:rPr>
                <w:noProof/>
                <w:webHidden/>
              </w:rPr>
              <w:fldChar w:fldCharType="end"/>
            </w:r>
          </w:hyperlink>
        </w:p>
        <w:p w14:paraId="05F4DAE4" w14:textId="5D42FB96" w:rsidR="000B7BF9" w:rsidRDefault="00E76B92">
          <w:pPr>
            <w:pStyle w:val="Indholdsfortegnelse2"/>
            <w:rPr>
              <w:rFonts w:asciiTheme="minorHAnsi" w:eastAsiaTheme="minorEastAsia" w:hAnsiTheme="minorHAnsi" w:cstheme="minorBidi"/>
              <w:noProof/>
              <w:lang w:eastAsia="da-DK"/>
            </w:rPr>
          </w:pPr>
          <w:hyperlink w:anchor="_Toc85189850" w:history="1">
            <w:r w:rsidR="000B7BF9" w:rsidRPr="006461BD">
              <w:rPr>
                <w:rStyle w:val="Hyperlink"/>
                <w:rFonts w:eastAsiaTheme="majorEastAsia"/>
                <w:noProof/>
              </w:rPr>
              <w:t>4.2</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En vurdering af behovet for nye indsamlingsordninger</w:t>
            </w:r>
            <w:r w:rsidR="000B7BF9">
              <w:rPr>
                <w:noProof/>
                <w:webHidden/>
              </w:rPr>
              <w:tab/>
            </w:r>
            <w:r w:rsidR="000B7BF9">
              <w:rPr>
                <w:noProof/>
                <w:webHidden/>
              </w:rPr>
              <w:fldChar w:fldCharType="begin"/>
            </w:r>
            <w:r w:rsidR="000B7BF9">
              <w:rPr>
                <w:noProof/>
                <w:webHidden/>
              </w:rPr>
              <w:instrText xml:space="preserve"> PAGEREF _Toc85189850 \h </w:instrText>
            </w:r>
            <w:r w:rsidR="000B7BF9">
              <w:rPr>
                <w:noProof/>
                <w:webHidden/>
              </w:rPr>
            </w:r>
            <w:r w:rsidR="000B7BF9">
              <w:rPr>
                <w:noProof/>
                <w:webHidden/>
              </w:rPr>
              <w:fldChar w:fldCharType="separate"/>
            </w:r>
            <w:r w:rsidR="000B7BF9">
              <w:rPr>
                <w:noProof/>
                <w:webHidden/>
              </w:rPr>
              <w:t>25</w:t>
            </w:r>
            <w:r w:rsidR="000B7BF9">
              <w:rPr>
                <w:noProof/>
                <w:webHidden/>
              </w:rPr>
              <w:fldChar w:fldCharType="end"/>
            </w:r>
          </w:hyperlink>
        </w:p>
        <w:p w14:paraId="1D7E18A0" w14:textId="4010181F"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51" w:history="1">
            <w:r w:rsidR="000B7BF9" w:rsidRPr="006461BD">
              <w:rPr>
                <w:rStyle w:val="Hyperlink"/>
                <w:rFonts w:eastAsiaTheme="majorEastAsia"/>
                <w:noProof/>
              </w:rPr>
              <w:t>4.2.1</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Perioden 2021-2026</w:t>
            </w:r>
            <w:r w:rsidR="000B7BF9">
              <w:rPr>
                <w:noProof/>
                <w:webHidden/>
              </w:rPr>
              <w:tab/>
            </w:r>
            <w:r w:rsidR="000B7BF9">
              <w:rPr>
                <w:noProof/>
                <w:webHidden/>
              </w:rPr>
              <w:fldChar w:fldCharType="begin"/>
            </w:r>
            <w:r w:rsidR="000B7BF9">
              <w:rPr>
                <w:noProof/>
                <w:webHidden/>
              </w:rPr>
              <w:instrText xml:space="preserve"> PAGEREF _Toc85189851 \h </w:instrText>
            </w:r>
            <w:r w:rsidR="000B7BF9">
              <w:rPr>
                <w:noProof/>
                <w:webHidden/>
              </w:rPr>
            </w:r>
            <w:r w:rsidR="000B7BF9">
              <w:rPr>
                <w:noProof/>
                <w:webHidden/>
              </w:rPr>
              <w:fldChar w:fldCharType="separate"/>
            </w:r>
            <w:r w:rsidR="000B7BF9">
              <w:rPr>
                <w:noProof/>
                <w:webHidden/>
              </w:rPr>
              <w:t>25</w:t>
            </w:r>
            <w:r w:rsidR="000B7BF9">
              <w:rPr>
                <w:noProof/>
                <w:webHidden/>
              </w:rPr>
              <w:fldChar w:fldCharType="end"/>
            </w:r>
          </w:hyperlink>
        </w:p>
        <w:p w14:paraId="098363A8" w14:textId="7AC1053B"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52" w:history="1">
            <w:r w:rsidR="000B7BF9" w:rsidRPr="006461BD">
              <w:rPr>
                <w:rStyle w:val="Hyperlink"/>
                <w:rFonts w:eastAsiaTheme="majorEastAsia"/>
                <w:noProof/>
              </w:rPr>
              <w:t>4.2.2</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Perioden 2027-2032</w:t>
            </w:r>
            <w:r w:rsidR="000B7BF9">
              <w:rPr>
                <w:noProof/>
                <w:webHidden/>
              </w:rPr>
              <w:tab/>
            </w:r>
            <w:r w:rsidR="000B7BF9">
              <w:rPr>
                <w:noProof/>
                <w:webHidden/>
              </w:rPr>
              <w:fldChar w:fldCharType="begin"/>
            </w:r>
            <w:r w:rsidR="000B7BF9">
              <w:rPr>
                <w:noProof/>
                <w:webHidden/>
              </w:rPr>
              <w:instrText xml:space="preserve"> PAGEREF _Toc85189852 \h </w:instrText>
            </w:r>
            <w:r w:rsidR="000B7BF9">
              <w:rPr>
                <w:noProof/>
                <w:webHidden/>
              </w:rPr>
            </w:r>
            <w:r w:rsidR="000B7BF9">
              <w:rPr>
                <w:noProof/>
                <w:webHidden/>
              </w:rPr>
              <w:fldChar w:fldCharType="separate"/>
            </w:r>
            <w:r w:rsidR="000B7BF9">
              <w:rPr>
                <w:noProof/>
                <w:webHidden/>
              </w:rPr>
              <w:t>27</w:t>
            </w:r>
            <w:r w:rsidR="000B7BF9">
              <w:rPr>
                <w:noProof/>
                <w:webHidden/>
              </w:rPr>
              <w:fldChar w:fldCharType="end"/>
            </w:r>
          </w:hyperlink>
        </w:p>
        <w:p w14:paraId="1092D9FC" w14:textId="1548A2EC" w:rsidR="000B7BF9" w:rsidRDefault="00E76B92">
          <w:pPr>
            <w:pStyle w:val="Indholdsfortegnelse2"/>
            <w:rPr>
              <w:rFonts w:asciiTheme="minorHAnsi" w:eastAsiaTheme="minorEastAsia" w:hAnsiTheme="minorHAnsi" w:cstheme="minorBidi"/>
              <w:noProof/>
              <w:lang w:eastAsia="da-DK"/>
            </w:rPr>
          </w:pPr>
          <w:hyperlink w:anchor="_Toc85189853" w:history="1">
            <w:r w:rsidR="000B7BF9" w:rsidRPr="006461BD">
              <w:rPr>
                <w:rStyle w:val="Hyperlink"/>
                <w:rFonts w:eastAsiaTheme="majorEastAsia"/>
                <w:noProof/>
              </w:rPr>
              <w:t>4.3</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En beskrivelse af den forventede fremtidige håndtering af det affald, som kommunalbestyrelsen indsamler eller anviser til behandling</w:t>
            </w:r>
            <w:r w:rsidR="000B7BF9">
              <w:rPr>
                <w:noProof/>
                <w:webHidden/>
              </w:rPr>
              <w:tab/>
            </w:r>
            <w:r w:rsidR="000B7BF9">
              <w:rPr>
                <w:noProof/>
                <w:webHidden/>
              </w:rPr>
              <w:fldChar w:fldCharType="begin"/>
            </w:r>
            <w:r w:rsidR="000B7BF9">
              <w:rPr>
                <w:noProof/>
                <w:webHidden/>
              </w:rPr>
              <w:instrText xml:space="preserve"> PAGEREF _Toc85189853 \h </w:instrText>
            </w:r>
            <w:r w:rsidR="000B7BF9">
              <w:rPr>
                <w:noProof/>
                <w:webHidden/>
              </w:rPr>
            </w:r>
            <w:r w:rsidR="000B7BF9">
              <w:rPr>
                <w:noProof/>
                <w:webHidden/>
              </w:rPr>
              <w:fldChar w:fldCharType="separate"/>
            </w:r>
            <w:r w:rsidR="000B7BF9">
              <w:rPr>
                <w:noProof/>
                <w:webHidden/>
              </w:rPr>
              <w:t>28</w:t>
            </w:r>
            <w:r w:rsidR="000B7BF9">
              <w:rPr>
                <w:noProof/>
                <w:webHidden/>
              </w:rPr>
              <w:fldChar w:fldCharType="end"/>
            </w:r>
          </w:hyperlink>
        </w:p>
        <w:p w14:paraId="6CC143A1" w14:textId="4A3A1BFF"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54" w:history="1">
            <w:r w:rsidR="000B7BF9" w:rsidRPr="006461BD">
              <w:rPr>
                <w:rStyle w:val="Hyperlink"/>
                <w:rFonts w:eastAsiaTheme="majorEastAsia"/>
                <w:noProof/>
              </w:rPr>
              <w:t>4.3.1</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Perioden 2021-2026</w:t>
            </w:r>
            <w:r w:rsidR="000B7BF9">
              <w:rPr>
                <w:noProof/>
                <w:webHidden/>
              </w:rPr>
              <w:tab/>
            </w:r>
            <w:r w:rsidR="000B7BF9">
              <w:rPr>
                <w:noProof/>
                <w:webHidden/>
              </w:rPr>
              <w:fldChar w:fldCharType="begin"/>
            </w:r>
            <w:r w:rsidR="000B7BF9">
              <w:rPr>
                <w:noProof/>
                <w:webHidden/>
              </w:rPr>
              <w:instrText xml:space="preserve"> PAGEREF _Toc85189854 \h </w:instrText>
            </w:r>
            <w:r w:rsidR="000B7BF9">
              <w:rPr>
                <w:noProof/>
                <w:webHidden/>
              </w:rPr>
            </w:r>
            <w:r w:rsidR="000B7BF9">
              <w:rPr>
                <w:noProof/>
                <w:webHidden/>
              </w:rPr>
              <w:fldChar w:fldCharType="separate"/>
            </w:r>
            <w:r w:rsidR="000B7BF9">
              <w:rPr>
                <w:noProof/>
                <w:webHidden/>
              </w:rPr>
              <w:t>28</w:t>
            </w:r>
            <w:r w:rsidR="000B7BF9">
              <w:rPr>
                <w:noProof/>
                <w:webHidden/>
              </w:rPr>
              <w:fldChar w:fldCharType="end"/>
            </w:r>
          </w:hyperlink>
        </w:p>
        <w:p w14:paraId="4D4C6256" w14:textId="5E5808F8"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55" w:history="1">
            <w:r w:rsidR="000B7BF9" w:rsidRPr="006461BD">
              <w:rPr>
                <w:rStyle w:val="Hyperlink"/>
                <w:rFonts w:eastAsiaTheme="majorEastAsia"/>
                <w:noProof/>
              </w:rPr>
              <w:t>4.3.2</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Perioden 2027-2032</w:t>
            </w:r>
            <w:r w:rsidR="000B7BF9">
              <w:rPr>
                <w:noProof/>
                <w:webHidden/>
              </w:rPr>
              <w:tab/>
            </w:r>
            <w:r w:rsidR="000B7BF9">
              <w:rPr>
                <w:noProof/>
                <w:webHidden/>
              </w:rPr>
              <w:fldChar w:fldCharType="begin"/>
            </w:r>
            <w:r w:rsidR="000B7BF9">
              <w:rPr>
                <w:noProof/>
                <w:webHidden/>
              </w:rPr>
              <w:instrText xml:space="preserve"> PAGEREF _Toc85189855 \h </w:instrText>
            </w:r>
            <w:r w:rsidR="000B7BF9">
              <w:rPr>
                <w:noProof/>
                <w:webHidden/>
              </w:rPr>
            </w:r>
            <w:r w:rsidR="000B7BF9">
              <w:rPr>
                <w:noProof/>
                <w:webHidden/>
              </w:rPr>
              <w:fldChar w:fldCharType="separate"/>
            </w:r>
            <w:r w:rsidR="000B7BF9">
              <w:rPr>
                <w:noProof/>
                <w:webHidden/>
              </w:rPr>
              <w:t>30</w:t>
            </w:r>
            <w:r w:rsidR="000B7BF9">
              <w:rPr>
                <w:noProof/>
                <w:webHidden/>
              </w:rPr>
              <w:fldChar w:fldCharType="end"/>
            </w:r>
          </w:hyperlink>
        </w:p>
        <w:p w14:paraId="066557FC" w14:textId="309A912D" w:rsidR="000B7BF9" w:rsidRDefault="00E76B92">
          <w:pPr>
            <w:pStyle w:val="Indholdsfortegnelse2"/>
            <w:rPr>
              <w:rFonts w:asciiTheme="minorHAnsi" w:eastAsiaTheme="minorEastAsia" w:hAnsiTheme="minorHAnsi" w:cstheme="minorBidi"/>
              <w:noProof/>
              <w:lang w:eastAsia="da-DK"/>
            </w:rPr>
          </w:pPr>
          <w:hyperlink w:anchor="_Toc85189856" w:history="1">
            <w:r w:rsidR="000B7BF9" w:rsidRPr="006461BD">
              <w:rPr>
                <w:rStyle w:val="Hyperlink"/>
                <w:rFonts w:eastAsiaTheme="majorEastAsia"/>
                <w:noProof/>
              </w:rPr>
              <w:t>4.4</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Hvilke behandlingsanlæg, der planlægges anvendt til håndtering af det affald, som kommunalbestyrelsen indsamler</w:t>
            </w:r>
            <w:r w:rsidR="000B7BF9">
              <w:rPr>
                <w:noProof/>
                <w:webHidden/>
              </w:rPr>
              <w:tab/>
            </w:r>
            <w:r w:rsidR="000B7BF9">
              <w:rPr>
                <w:noProof/>
                <w:webHidden/>
              </w:rPr>
              <w:fldChar w:fldCharType="begin"/>
            </w:r>
            <w:r w:rsidR="000B7BF9">
              <w:rPr>
                <w:noProof/>
                <w:webHidden/>
              </w:rPr>
              <w:instrText xml:space="preserve"> PAGEREF _Toc85189856 \h </w:instrText>
            </w:r>
            <w:r w:rsidR="000B7BF9">
              <w:rPr>
                <w:noProof/>
                <w:webHidden/>
              </w:rPr>
            </w:r>
            <w:r w:rsidR="000B7BF9">
              <w:rPr>
                <w:noProof/>
                <w:webHidden/>
              </w:rPr>
              <w:fldChar w:fldCharType="separate"/>
            </w:r>
            <w:r w:rsidR="000B7BF9">
              <w:rPr>
                <w:noProof/>
                <w:webHidden/>
              </w:rPr>
              <w:t>30</w:t>
            </w:r>
            <w:r w:rsidR="000B7BF9">
              <w:rPr>
                <w:noProof/>
                <w:webHidden/>
              </w:rPr>
              <w:fldChar w:fldCharType="end"/>
            </w:r>
          </w:hyperlink>
        </w:p>
        <w:p w14:paraId="78ED10BF" w14:textId="1B1DFEB8"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57" w:history="1">
            <w:r w:rsidR="000B7BF9" w:rsidRPr="006461BD">
              <w:rPr>
                <w:rStyle w:val="Hyperlink"/>
                <w:rFonts w:eastAsiaTheme="majorEastAsia"/>
                <w:noProof/>
              </w:rPr>
              <w:t>4.4.1</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Perioden 2021-2026</w:t>
            </w:r>
            <w:r w:rsidR="000B7BF9">
              <w:rPr>
                <w:noProof/>
                <w:webHidden/>
              </w:rPr>
              <w:tab/>
            </w:r>
            <w:r w:rsidR="000B7BF9">
              <w:rPr>
                <w:noProof/>
                <w:webHidden/>
              </w:rPr>
              <w:fldChar w:fldCharType="begin"/>
            </w:r>
            <w:r w:rsidR="000B7BF9">
              <w:rPr>
                <w:noProof/>
                <w:webHidden/>
              </w:rPr>
              <w:instrText xml:space="preserve"> PAGEREF _Toc85189857 \h </w:instrText>
            </w:r>
            <w:r w:rsidR="000B7BF9">
              <w:rPr>
                <w:noProof/>
                <w:webHidden/>
              </w:rPr>
            </w:r>
            <w:r w:rsidR="000B7BF9">
              <w:rPr>
                <w:noProof/>
                <w:webHidden/>
              </w:rPr>
              <w:fldChar w:fldCharType="separate"/>
            </w:r>
            <w:r w:rsidR="000B7BF9">
              <w:rPr>
                <w:noProof/>
                <w:webHidden/>
              </w:rPr>
              <w:t>30</w:t>
            </w:r>
            <w:r w:rsidR="000B7BF9">
              <w:rPr>
                <w:noProof/>
                <w:webHidden/>
              </w:rPr>
              <w:fldChar w:fldCharType="end"/>
            </w:r>
          </w:hyperlink>
        </w:p>
        <w:p w14:paraId="39A8640D" w14:textId="743E8664"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58" w:history="1">
            <w:r w:rsidR="000B7BF9" w:rsidRPr="006461BD">
              <w:rPr>
                <w:rStyle w:val="Hyperlink"/>
                <w:rFonts w:eastAsiaTheme="majorEastAsia"/>
                <w:noProof/>
              </w:rPr>
              <w:t>4.4.2</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Perioden 2027-2032</w:t>
            </w:r>
            <w:r w:rsidR="000B7BF9">
              <w:rPr>
                <w:noProof/>
                <w:webHidden/>
              </w:rPr>
              <w:tab/>
            </w:r>
            <w:r w:rsidR="000B7BF9">
              <w:rPr>
                <w:noProof/>
                <w:webHidden/>
              </w:rPr>
              <w:fldChar w:fldCharType="begin"/>
            </w:r>
            <w:r w:rsidR="000B7BF9">
              <w:rPr>
                <w:noProof/>
                <w:webHidden/>
              </w:rPr>
              <w:instrText xml:space="preserve"> PAGEREF _Toc85189858 \h </w:instrText>
            </w:r>
            <w:r w:rsidR="000B7BF9">
              <w:rPr>
                <w:noProof/>
                <w:webHidden/>
              </w:rPr>
            </w:r>
            <w:r w:rsidR="000B7BF9">
              <w:rPr>
                <w:noProof/>
                <w:webHidden/>
              </w:rPr>
              <w:fldChar w:fldCharType="separate"/>
            </w:r>
            <w:r w:rsidR="000B7BF9">
              <w:rPr>
                <w:noProof/>
                <w:webHidden/>
              </w:rPr>
              <w:t>30</w:t>
            </w:r>
            <w:r w:rsidR="000B7BF9">
              <w:rPr>
                <w:noProof/>
                <w:webHidden/>
              </w:rPr>
              <w:fldChar w:fldCharType="end"/>
            </w:r>
          </w:hyperlink>
        </w:p>
        <w:p w14:paraId="0C131986" w14:textId="3B4AAC8A" w:rsidR="000B7BF9" w:rsidRDefault="00E76B92">
          <w:pPr>
            <w:pStyle w:val="Indholdsfortegnelse2"/>
            <w:rPr>
              <w:rFonts w:asciiTheme="minorHAnsi" w:eastAsiaTheme="minorEastAsia" w:hAnsiTheme="minorHAnsi" w:cstheme="minorBidi"/>
              <w:noProof/>
              <w:lang w:eastAsia="da-DK"/>
            </w:rPr>
          </w:pPr>
          <w:hyperlink w:anchor="_Toc85189859" w:history="1">
            <w:r w:rsidR="000B7BF9" w:rsidRPr="006461BD">
              <w:rPr>
                <w:rStyle w:val="Hyperlink"/>
                <w:rFonts w:eastAsiaTheme="majorEastAsia"/>
                <w:noProof/>
              </w:rPr>
              <w:t>4.5</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Deponerings- og forbrændingskapacitet</w:t>
            </w:r>
            <w:r w:rsidR="000B7BF9">
              <w:rPr>
                <w:noProof/>
                <w:webHidden/>
              </w:rPr>
              <w:tab/>
            </w:r>
            <w:r w:rsidR="000B7BF9">
              <w:rPr>
                <w:noProof/>
                <w:webHidden/>
              </w:rPr>
              <w:fldChar w:fldCharType="begin"/>
            </w:r>
            <w:r w:rsidR="000B7BF9">
              <w:rPr>
                <w:noProof/>
                <w:webHidden/>
              </w:rPr>
              <w:instrText xml:space="preserve"> PAGEREF _Toc85189859 \h </w:instrText>
            </w:r>
            <w:r w:rsidR="000B7BF9">
              <w:rPr>
                <w:noProof/>
                <w:webHidden/>
              </w:rPr>
            </w:r>
            <w:r w:rsidR="000B7BF9">
              <w:rPr>
                <w:noProof/>
                <w:webHidden/>
              </w:rPr>
              <w:fldChar w:fldCharType="separate"/>
            </w:r>
            <w:r w:rsidR="000B7BF9">
              <w:rPr>
                <w:noProof/>
                <w:webHidden/>
              </w:rPr>
              <w:t>30</w:t>
            </w:r>
            <w:r w:rsidR="000B7BF9">
              <w:rPr>
                <w:noProof/>
                <w:webHidden/>
              </w:rPr>
              <w:fldChar w:fldCharType="end"/>
            </w:r>
          </w:hyperlink>
        </w:p>
        <w:p w14:paraId="53C6D224" w14:textId="46DDB3CA"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60" w:history="1">
            <w:r w:rsidR="000B7BF9" w:rsidRPr="006461BD">
              <w:rPr>
                <w:rStyle w:val="Hyperlink"/>
                <w:rFonts w:eastAsiaTheme="majorEastAsia"/>
                <w:noProof/>
              </w:rPr>
              <w:t>4.5.1</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Deponeringskapacitet</w:t>
            </w:r>
            <w:r w:rsidR="000B7BF9">
              <w:rPr>
                <w:noProof/>
                <w:webHidden/>
              </w:rPr>
              <w:tab/>
            </w:r>
            <w:r w:rsidR="000B7BF9">
              <w:rPr>
                <w:noProof/>
                <w:webHidden/>
              </w:rPr>
              <w:fldChar w:fldCharType="begin"/>
            </w:r>
            <w:r w:rsidR="000B7BF9">
              <w:rPr>
                <w:noProof/>
                <w:webHidden/>
              </w:rPr>
              <w:instrText xml:space="preserve"> PAGEREF _Toc85189860 \h </w:instrText>
            </w:r>
            <w:r w:rsidR="000B7BF9">
              <w:rPr>
                <w:noProof/>
                <w:webHidden/>
              </w:rPr>
            </w:r>
            <w:r w:rsidR="000B7BF9">
              <w:rPr>
                <w:noProof/>
                <w:webHidden/>
              </w:rPr>
              <w:fldChar w:fldCharType="separate"/>
            </w:r>
            <w:r w:rsidR="000B7BF9">
              <w:rPr>
                <w:noProof/>
                <w:webHidden/>
              </w:rPr>
              <w:t>30</w:t>
            </w:r>
            <w:r w:rsidR="000B7BF9">
              <w:rPr>
                <w:noProof/>
                <w:webHidden/>
              </w:rPr>
              <w:fldChar w:fldCharType="end"/>
            </w:r>
          </w:hyperlink>
        </w:p>
        <w:p w14:paraId="0D788C38" w14:textId="6FC4CF5D"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61" w:history="1">
            <w:r w:rsidR="000B7BF9" w:rsidRPr="006461BD">
              <w:rPr>
                <w:rStyle w:val="Hyperlink"/>
                <w:rFonts w:eastAsiaTheme="majorEastAsia"/>
                <w:noProof/>
              </w:rPr>
              <w:t>4.5.2</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Forbrændingskapacitet</w:t>
            </w:r>
            <w:r w:rsidR="000B7BF9">
              <w:rPr>
                <w:noProof/>
                <w:webHidden/>
              </w:rPr>
              <w:tab/>
            </w:r>
            <w:r w:rsidR="000B7BF9">
              <w:rPr>
                <w:noProof/>
                <w:webHidden/>
              </w:rPr>
              <w:fldChar w:fldCharType="begin"/>
            </w:r>
            <w:r w:rsidR="000B7BF9">
              <w:rPr>
                <w:noProof/>
                <w:webHidden/>
              </w:rPr>
              <w:instrText xml:space="preserve"> PAGEREF _Toc85189861 \h </w:instrText>
            </w:r>
            <w:r w:rsidR="000B7BF9">
              <w:rPr>
                <w:noProof/>
                <w:webHidden/>
              </w:rPr>
            </w:r>
            <w:r w:rsidR="000B7BF9">
              <w:rPr>
                <w:noProof/>
                <w:webHidden/>
              </w:rPr>
              <w:fldChar w:fldCharType="separate"/>
            </w:r>
            <w:r w:rsidR="000B7BF9">
              <w:rPr>
                <w:noProof/>
                <w:webHidden/>
              </w:rPr>
              <w:t>30</w:t>
            </w:r>
            <w:r w:rsidR="000B7BF9">
              <w:rPr>
                <w:noProof/>
                <w:webHidden/>
              </w:rPr>
              <w:fldChar w:fldCharType="end"/>
            </w:r>
          </w:hyperlink>
        </w:p>
        <w:p w14:paraId="64A7EB5A" w14:textId="38AFD47D" w:rsidR="000B7BF9" w:rsidRDefault="00E76B92">
          <w:pPr>
            <w:pStyle w:val="Indholdsfortegnelse2"/>
            <w:rPr>
              <w:rFonts w:asciiTheme="minorHAnsi" w:eastAsiaTheme="minorEastAsia" w:hAnsiTheme="minorHAnsi" w:cstheme="minorBidi"/>
              <w:noProof/>
              <w:lang w:eastAsia="da-DK"/>
            </w:rPr>
          </w:pPr>
          <w:hyperlink w:anchor="_Toc85189862" w:history="1">
            <w:r w:rsidR="000B7BF9" w:rsidRPr="006461BD">
              <w:rPr>
                <w:rStyle w:val="Hyperlink"/>
                <w:rFonts w:eastAsiaTheme="majorEastAsia"/>
                <w:noProof/>
              </w:rPr>
              <w:t>4.6</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Planens økonomiske konsekvenser</w:t>
            </w:r>
            <w:r w:rsidR="000B7BF9">
              <w:rPr>
                <w:noProof/>
                <w:webHidden/>
              </w:rPr>
              <w:tab/>
            </w:r>
            <w:r w:rsidR="000B7BF9">
              <w:rPr>
                <w:noProof/>
                <w:webHidden/>
              </w:rPr>
              <w:fldChar w:fldCharType="begin"/>
            </w:r>
            <w:r w:rsidR="000B7BF9">
              <w:rPr>
                <w:noProof/>
                <w:webHidden/>
              </w:rPr>
              <w:instrText xml:space="preserve"> PAGEREF _Toc85189862 \h </w:instrText>
            </w:r>
            <w:r w:rsidR="000B7BF9">
              <w:rPr>
                <w:noProof/>
                <w:webHidden/>
              </w:rPr>
            </w:r>
            <w:r w:rsidR="000B7BF9">
              <w:rPr>
                <w:noProof/>
                <w:webHidden/>
              </w:rPr>
              <w:fldChar w:fldCharType="separate"/>
            </w:r>
            <w:r w:rsidR="000B7BF9">
              <w:rPr>
                <w:noProof/>
                <w:webHidden/>
              </w:rPr>
              <w:t>32</w:t>
            </w:r>
            <w:r w:rsidR="000B7BF9">
              <w:rPr>
                <w:noProof/>
                <w:webHidden/>
              </w:rPr>
              <w:fldChar w:fldCharType="end"/>
            </w:r>
          </w:hyperlink>
        </w:p>
        <w:p w14:paraId="18FCBF94" w14:textId="508B5C4F"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63" w:history="1">
            <w:r w:rsidR="000B7BF9" w:rsidRPr="006461BD">
              <w:rPr>
                <w:rStyle w:val="Hyperlink"/>
                <w:rFonts w:eastAsiaTheme="majorEastAsia"/>
                <w:noProof/>
              </w:rPr>
              <w:t>4.6.1</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Perioden 2021-2026</w:t>
            </w:r>
            <w:r w:rsidR="000B7BF9">
              <w:rPr>
                <w:noProof/>
                <w:webHidden/>
              </w:rPr>
              <w:tab/>
            </w:r>
            <w:r w:rsidR="000B7BF9">
              <w:rPr>
                <w:noProof/>
                <w:webHidden/>
              </w:rPr>
              <w:fldChar w:fldCharType="begin"/>
            </w:r>
            <w:r w:rsidR="000B7BF9">
              <w:rPr>
                <w:noProof/>
                <w:webHidden/>
              </w:rPr>
              <w:instrText xml:space="preserve"> PAGEREF _Toc85189863 \h </w:instrText>
            </w:r>
            <w:r w:rsidR="000B7BF9">
              <w:rPr>
                <w:noProof/>
                <w:webHidden/>
              </w:rPr>
            </w:r>
            <w:r w:rsidR="000B7BF9">
              <w:rPr>
                <w:noProof/>
                <w:webHidden/>
              </w:rPr>
              <w:fldChar w:fldCharType="separate"/>
            </w:r>
            <w:r w:rsidR="000B7BF9">
              <w:rPr>
                <w:noProof/>
                <w:webHidden/>
              </w:rPr>
              <w:t>32</w:t>
            </w:r>
            <w:r w:rsidR="000B7BF9">
              <w:rPr>
                <w:noProof/>
                <w:webHidden/>
              </w:rPr>
              <w:fldChar w:fldCharType="end"/>
            </w:r>
          </w:hyperlink>
        </w:p>
        <w:p w14:paraId="334E491D" w14:textId="03AEB083"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64" w:history="1">
            <w:r w:rsidR="000B7BF9" w:rsidRPr="006461BD">
              <w:rPr>
                <w:rStyle w:val="Hyperlink"/>
                <w:rFonts w:eastAsiaTheme="majorEastAsia"/>
                <w:noProof/>
              </w:rPr>
              <w:t>4.6.2</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Perioden 2027-2032</w:t>
            </w:r>
            <w:r w:rsidR="000B7BF9">
              <w:rPr>
                <w:noProof/>
                <w:webHidden/>
              </w:rPr>
              <w:tab/>
            </w:r>
            <w:r w:rsidR="000B7BF9">
              <w:rPr>
                <w:noProof/>
                <w:webHidden/>
              </w:rPr>
              <w:fldChar w:fldCharType="begin"/>
            </w:r>
            <w:r w:rsidR="000B7BF9">
              <w:rPr>
                <w:noProof/>
                <w:webHidden/>
              </w:rPr>
              <w:instrText xml:space="preserve"> PAGEREF _Toc85189864 \h </w:instrText>
            </w:r>
            <w:r w:rsidR="000B7BF9">
              <w:rPr>
                <w:noProof/>
                <w:webHidden/>
              </w:rPr>
            </w:r>
            <w:r w:rsidR="000B7BF9">
              <w:rPr>
                <w:noProof/>
                <w:webHidden/>
              </w:rPr>
              <w:fldChar w:fldCharType="separate"/>
            </w:r>
            <w:r w:rsidR="000B7BF9">
              <w:rPr>
                <w:noProof/>
                <w:webHidden/>
              </w:rPr>
              <w:t>32</w:t>
            </w:r>
            <w:r w:rsidR="000B7BF9">
              <w:rPr>
                <w:noProof/>
                <w:webHidden/>
              </w:rPr>
              <w:fldChar w:fldCharType="end"/>
            </w:r>
          </w:hyperlink>
        </w:p>
        <w:p w14:paraId="5D57A7CA" w14:textId="68A589F1" w:rsidR="000B7BF9" w:rsidRDefault="00E76B92">
          <w:pPr>
            <w:pStyle w:val="Indholdsfortegnelse2"/>
            <w:rPr>
              <w:rFonts w:asciiTheme="minorHAnsi" w:eastAsiaTheme="minorEastAsia" w:hAnsiTheme="minorHAnsi" w:cstheme="minorBidi"/>
              <w:noProof/>
              <w:lang w:eastAsia="da-DK"/>
            </w:rPr>
          </w:pPr>
          <w:hyperlink w:anchor="_Toc85189865" w:history="1">
            <w:r w:rsidR="000B7BF9" w:rsidRPr="006461BD">
              <w:rPr>
                <w:rStyle w:val="Hyperlink"/>
                <w:rFonts w:eastAsiaTheme="majorEastAsia"/>
                <w:noProof/>
              </w:rPr>
              <w:t>4.7</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Planlagte fremtidige investeringer til renovering, ombygning eller etablering af nye anlæg</w:t>
            </w:r>
            <w:r w:rsidR="000B7BF9">
              <w:rPr>
                <w:noProof/>
                <w:webHidden/>
              </w:rPr>
              <w:tab/>
            </w:r>
            <w:r w:rsidR="000B7BF9">
              <w:rPr>
                <w:noProof/>
                <w:webHidden/>
              </w:rPr>
              <w:fldChar w:fldCharType="begin"/>
            </w:r>
            <w:r w:rsidR="000B7BF9">
              <w:rPr>
                <w:noProof/>
                <w:webHidden/>
              </w:rPr>
              <w:instrText xml:space="preserve"> PAGEREF _Toc85189865 \h </w:instrText>
            </w:r>
            <w:r w:rsidR="000B7BF9">
              <w:rPr>
                <w:noProof/>
                <w:webHidden/>
              </w:rPr>
            </w:r>
            <w:r w:rsidR="000B7BF9">
              <w:rPr>
                <w:noProof/>
                <w:webHidden/>
              </w:rPr>
              <w:fldChar w:fldCharType="separate"/>
            </w:r>
            <w:r w:rsidR="000B7BF9">
              <w:rPr>
                <w:noProof/>
                <w:webHidden/>
              </w:rPr>
              <w:t>32</w:t>
            </w:r>
            <w:r w:rsidR="000B7BF9">
              <w:rPr>
                <w:noProof/>
                <w:webHidden/>
              </w:rPr>
              <w:fldChar w:fldCharType="end"/>
            </w:r>
          </w:hyperlink>
        </w:p>
        <w:p w14:paraId="06CCCA73" w14:textId="1FCB5667"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66" w:history="1">
            <w:r w:rsidR="000B7BF9" w:rsidRPr="006461BD">
              <w:rPr>
                <w:rStyle w:val="Hyperlink"/>
                <w:rFonts w:eastAsiaTheme="majorEastAsia"/>
                <w:noProof/>
              </w:rPr>
              <w:t>4.7.1</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Perioden 2021-2026</w:t>
            </w:r>
            <w:r w:rsidR="000B7BF9">
              <w:rPr>
                <w:noProof/>
                <w:webHidden/>
              </w:rPr>
              <w:tab/>
            </w:r>
            <w:r w:rsidR="000B7BF9">
              <w:rPr>
                <w:noProof/>
                <w:webHidden/>
              </w:rPr>
              <w:fldChar w:fldCharType="begin"/>
            </w:r>
            <w:r w:rsidR="000B7BF9">
              <w:rPr>
                <w:noProof/>
                <w:webHidden/>
              </w:rPr>
              <w:instrText xml:space="preserve"> PAGEREF _Toc85189866 \h </w:instrText>
            </w:r>
            <w:r w:rsidR="000B7BF9">
              <w:rPr>
                <w:noProof/>
                <w:webHidden/>
              </w:rPr>
            </w:r>
            <w:r w:rsidR="000B7BF9">
              <w:rPr>
                <w:noProof/>
                <w:webHidden/>
              </w:rPr>
              <w:fldChar w:fldCharType="separate"/>
            </w:r>
            <w:r w:rsidR="000B7BF9">
              <w:rPr>
                <w:noProof/>
                <w:webHidden/>
              </w:rPr>
              <w:t>33</w:t>
            </w:r>
            <w:r w:rsidR="000B7BF9">
              <w:rPr>
                <w:noProof/>
                <w:webHidden/>
              </w:rPr>
              <w:fldChar w:fldCharType="end"/>
            </w:r>
          </w:hyperlink>
        </w:p>
        <w:p w14:paraId="797F5DFD" w14:textId="6797B10C"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67" w:history="1">
            <w:r w:rsidR="000B7BF9" w:rsidRPr="006461BD">
              <w:rPr>
                <w:rStyle w:val="Hyperlink"/>
                <w:rFonts w:eastAsiaTheme="majorEastAsia"/>
                <w:noProof/>
              </w:rPr>
              <w:t>4.7.2</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Perioden 2027-2032</w:t>
            </w:r>
            <w:r w:rsidR="000B7BF9">
              <w:rPr>
                <w:noProof/>
                <w:webHidden/>
              </w:rPr>
              <w:tab/>
            </w:r>
            <w:r w:rsidR="000B7BF9">
              <w:rPr>
                <w:noProof/>
                <w:webHidden/>
              </w:rPr>
              <w:fldChar w:fldCharType="begin"/>
            </w:r>
            <w:r w:rsidR="000B7BF9">
              <w:rPr>
                <w:noProof/>
                <w:webHidden/>
              </w:rPr>
              <w:instrText xml:space="preserve"> PAGEREF _Toc85189867 \h </w:instrText>
            </w:r>
            <w:r w:rsidR="000B7BF9">
              <w:rPr>
                <w:noProof/>
                <w:webHidden/>
              </w:rPr>
            </w:r>
            <w:r w:rsidR="000B7BF9">
              <w:rPr>
                <w:noProof/>
                <w:webHidden/>
              </w:rPr>
              <w:fldChar w:fldCharType="separate"/>
            </w:r>
            <w:r w:rsidR="000B7BF9">
              <w:rPr>
                <w:noProof/>
                <w:webHidden/>
              </w:rPr>
              <w:t>33</w:t>
            </w:r>
            <w:r w:rsidR="000B7BF9">
              <w:rPr>
                <w:noProof/>
                <w:webHidden/>
              </w:rPr>
              <w:fldChar w:fldCharType="end"/>
            </w:r>
          </w:hyperlink>
        </w:p>
        <w:p w14:paraId="2645A64D" w14:textId="178FAB1A" w:rsidR="000B7BF9" w:rsidRDefault="00E76B92">
          <w:pPr>
            <w:pStyle w:val="Indholdsfortegnelse2"/>
            <w:rPr>
              <w:rFonts w:asciiTheme="minorHAnsi" w:eastAsiaTheme="minorEastAsia" w:hAnsiTheme="minorHAnsi" w:cstheme="minorBidi"/>
              <w:noProof/>
              <w:lang w:eastAsia="da-DK"/>
            </w:rPr>
          </w:pPr>
          <w:hyperlink w:anchor="_Toc85189868" w:history="1">
            <w:r w:rsidR="000B7BF9" w:rsidRPr="006461BD">
              <w:rPr>
                <w:rStyle w:val="Hyperlink"/>
                <w:rFonts w:eastAsiaTheme="majorEastAsia"/>
                <w:noProof/>
              </w:rPr>
              <w:t>4.8</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En vurdering af i hvilket omfang de af planen omfattede foranstaltninger er i overensstemmelse med affaldshierarkiet</w:t>
            </w:r>
            <w:r w:rsidR="000B7BF9">
              <w:rPr>
                <w:noProof/>
                <w:webHidden/>
              </w:rPr>
              <w:tab/>
            </w:r>
            <w:r w:rsidR="000B7BF9">
              <w:rPr>
                <w:noProof/>
                <w:webHidden/>
              </w:rPr>
              <w:fldChar w:fldCharType="begin"/>
            </w:r>
            <w:r w:rsidR="000B7BF9">
              <w:rPr>
                <w:noProof/>
                <w:webHidden/>
              </w:rPr>
              <w:instrText xml:space="preserve"> PAGEREF _Toc85189868 \h </w:instrText>
            </w:r>
            <w:r w:rsidR="000B7BF9">
              <w:rPr>
                <w:noProof/>
                <w:webHidden/>
              </w:rPr>
            </w:r>
            <w:r w:rsidR="000B7BF9">
              <w:rPr>
                <w:noProof/>
                <w:webHidden/>
              </w:rPr>
              <w:fldChar w:fldCharType="separate"/>
            </w:r>
            <w:r w:rsidR="000B7BF9">
              <w:rPr>
                <w:noProof/>
                <w:webHidden/>
              </w:rPr>
              <w:t>33</w:t>
            </w:r>
            <w:r w:rsidR="000B7BF9">
              <w:rPr>
                <w:noProof/>
                <w:webHidden/>
              </w:rPr>
              <w:fldChar w:fldCharType="end"/>
            </w:r>
          </w:hyperlink>
        </w:p>
        <w:p w14:paraId="5909A752" w14:textId="3A5A7370"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69" w:history="1">
            <w:r w:rsidR="000B7BF9" w:rsidRPr="006461BD">
              <w:rPr>
                <w:rStyle w:val="Hyperlink"/>
                <w:rFonts w:eastAsiaTheme="majorEastAsia"/>
                <w:noProof/>
              </w:rPr>
              <w:t>4.8.1</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Perioden 2021-2026</w:t>
            </w:r>
            <w:r w:rsidR="000B7BF9">
              <w:rPr>
                <w:noProof/>
                <w:webHidden/>
              </w:rPr>
              <w:tab/>
            </w:r>
            <w:r w:rsidR="000B7BF9">
              <w:rPr>
                <w:noProof/>
                <w:webHidden/>
              </w:rPr>
              <w:fldChar w:fldCharType="begin"/>
            </w:r>
            <w:r w:rsidR="000B7BF9">
              <w:rPr>
                <w:noProof/>
                <w:webHidden/>
              </w:rPr>
              <w:instrText xml:space="preserve"> PAGEREF _Toc85189869 \h </w:instrText>
            </w:r>
            <w:r w:rsidR="000B7BF9">
              <w:rPr>
                <w:noProof/>
                <w:webHidden/>
              </w:rPr>
            </w:r>
            <w:r w:rsidR="000B7BF9">
              <w:rPr>
                <w:noProof/>
                <w:webHidden/>
              </w:rPr>
              <w:fldChar w:fldCharType="separate"/>
            </w:r>
            <w:r w:rsidR="000B7BF9">
              <w:rPr>
                <w:noProof/>
                <w:webHidden/>
              </w:rPr>
              <w:t>34</w:t>
            </w:r>
            <w:r w:rsidR="000B7BF9">
              <w:rPr>
                <w:noProof/>
                <w:webHidden/>
              </w:rPr>
              <w:fldChar w:fldCharType="end"/>
            </w:r>
          </w:hyperlink>
        </w:p>
        <w:p w14:paraId="6264DC57" w14:textId="3C5314AE" w:rsidR="000B7BF9" w:rsidRDefault="00E76B92">
          <w:pPr>
            <w:pStyle w:val="Indholdsfortegnelse3"/>
            <w:tabs>
              <w:tab w:val="left" w:pos="1320"/>
            </w:tabs>
            <w:rPr>
              <w:rFonts w:asciiTheme="minorHAnsi" w:eastAsiaTheme="minorEastAsia" w:hAnsiTheme="minorHAnsi" w:cstheme="minorBidi"/>
              <w:noProof/>
              <w:lang w:eastAsia="da-DK"/>
            </w:rPr>
          </w:pPr>
          <w:hyperlink w:anchor="_Toc85189870" w:history="1">
            <w:r w:rsidR="000B7BF9" w:rsidRPr="006461BD">
              <w:rPr>
                <w:rStyle w:val="Hyperlink"/>
                <w:rFonts w:eastAsiaTheme="majorEastAsia"/>
                <w:noProof/>
              </w:rPr>
              <w:t>4.8.2</w:t>
            </w:r>
            <w:r w:rsidR="000B7BF9">
              <w:rPr>
                <w:rFonts w:asciiTheme="minorHAnsi" w:eastAsiaTheme="minorEastAsia" w:hAnsiTheme="minorHAnsi" w:cstheme="minorBidi"/>
                <w:noProof/>
                <w:lang w:eastAsia="da-DK"/>
              </w:rPr>
              <w:tab/>
            </w:r>
            <w:r w:rsidR="000B7BF9" w:rsidRPr="006461BD">
              <w:rPr>
                <w:rStyle w:val="Hyperlink"/>
                <w:rFonts w:eastAsiaTheme="majorEastAsia"/>
                <w:noProof/>
              </w:rPr>
              <w:t>Perioden 2027-2032</w:t>
            </w:r>
            <w:r w:rsidR="000B7BF9">
              <w:rPr>
                <w:noProof/>
                <w:webHidden/>
              </w:rPr>
              <w:tab/>
            </w:r>
            <w:r w:rsidR="000B7BF9">
              <w:rPr>
                <w:noProof/>
                <w:webHidden/>
              </w:rPr>
              <w:fldChar w:fldCharType="begin"/>
            </w:r>
            <w:r w:rsidR="000B7BF9">
              <w:rPr>
                <w:noProof/>
                <w:webHidden/>
              </w:rPr>
              <w:instrText xml:space="preserve"> PAGEREF _Toc85189870 \h </w:instrText>
            </w:r>
            <w:r w:rsidR="000B7BF9">
              <w:rPr>
                <w:noProof/>
                <w:webHidden/>
              </w:rPr>
            </w:r>
            <w:r w:rsidR="000B7BF9">
              <w:rPr>
                <w:noProof/>
                <w:webHidden/>
              </w:rPr>
              <w:fldChar w:fldCharType="separate"/>
            </w:r>
            <w:r w:rsidR="000B7BF9">
              <w:rPr>
                <w:noProof/>
                <w:webHidden/>
              </w:rPr>
              <w:t>34</w:t>
            </w:r>
            <w:r w:rsidR="000B7BF9">
              <w:rPr>
                <w:noProof/>
                <w:webHidden/>
              </w:rPr>
              <w:fldChar w:fldCharType="end"/>
            </w:r>
          </w:hyperlink>
        </w:p>
        <w:p w14:paraId="5265D07E" w14:textId="0E2D3B95" w:rsidR="000B7BF9" w:rsidRDefault="00E76B92">
          <w:pPr>
            <w:pStyle w:val="Indholdsfortegnelse1"/>
            <w:rPr>
              <w:rFonts w:asciiTheme="minorHAnsi" w:eastAsiaTheme="minorEastAsia" w:hAnsiTheme="minorHAnsi" w:cstheme="minorBidi"/>
              <w:b w:val="0"/>
              <w:caps w:val="0"/>
              <w:noProof/>
              <w:lang w:eastAsia="da-DK"/>
            </w:rPr>
          </w:pPr>
          <w:hyperlink w:anchor="_Toc85189871" w:history="1">
            <w:r w:rsidR="000B7BF9" w:rsidRPr="006461BD">
              <w:rPr>
                <w:rStyle w:val="Hyperlink"/>
                <w:rFonts w:eastAsiaTheme="majorEastAsia"/>
                <w:noProof/>
              </w:rPr>
              <w:t>5.</w:t>
            </w:r>
            <w:r w:rsidR="000B7BF9">
              <w:rPr>
                <w:rFonts w:asciiTheme="minorHAnsi" w:eastAsiaTheme="minorEastAsia" w:hAnsiTheme="minorHAnsi" w:cstheme="minorBidi"/>
                <w:b w:val="0"/>
                <w:caps w:val="0"/>
                <w:noProof/>
                <w:lang w:eastAsia="da-DK"/>
              </w:rPr>
              <w:tab/>
            </w:r>
            <w:r w:rsidR="000B7BF9" w:rsidRPr="006461BD">
              <w:rPr>
                <w:rStyle w:val="Hyperlink"/>
                <w:rFonts w:eastAsiaTheme="majorEastAsia"/>
                <w:noProof/>
              </w:rPr>
              <w:t>Planens klimamæssige konsekvenser</w:t>
            </w:r>
            <w:r w:rsidR="000B7BF9">
              <w:rPr>
                <w:noProof/>
                <w:webHidden/>
              </w:rPr>
              <w:tab/>
            </w:r>
            <w:r w:rsidR="000B7BF9">
              <w:rPr>
                <w:noProof/>
                <w:webHidden/>
              </w:rPr>
              <w:fldChar w:fldCharType="begin"/>
            </w:r>
            <w:r w:rsidR="000B7BF9">
              <w:rPr>
                <w:noProof/>
                <w:webHidden/>
              </w:rPr>
              <w:instrText xml:space="preserve"> PAGEREF _Toc85189871 \h </w:instrText>
            </w:r>
            <w:r w:rsidR="000B7BF9">
              <w:rPr>
                <w:noProof/>
                <w:webHidden/>
              </w:rPr>
            </w:r>
            <w:r w:rsidR="000B7BF9">
              <w:rPr>
                <w:noProof/>
                <w:webHidden/>
              </w:rPr>
              <w:fldChar w:fldCharType="separate"/>
            </w:r>
            <w:r w:rsidR="000B7BF9">
              <w:rPr>
                <w:noProof/>
                <w:webHidden/>
              </w:rPr>
              <w:t>35</w:t>
            </w:r>
            <w:r w:rsidR="000B7BF9">
              <w:rPr>
                <w:noProof/>
                <w:webHidden/>
              </w:rPr>
              <w:fldChar w:fldCharType="end"/>
            </w:r>
          </w:hyperlink>
        </w:p>
        <w:p w14:paraId="26FC5847" w14:textId="47ADB92E" w:rsidR="000B7BF9" w:rsidRDefault="00E76B92">
          <w:pPr>
            <w:pStyle w:val="Indholdsfortegnelse1"/>
            <w:rPr>
              <w:rFonts w:asciiTheme="minorHAnsi" w:eastAsiaTheme="minorEastAsia" w:hAnsiTheme="minorHAnsi" w:cstheme="minorBidi"/>
              <w:b w:val="0"/>
              <w:caps w:val="0"/>
              <w:noProof/>
              <w:lang w:eastAsia="da-DK"/>
            </w:rPr>
          </w:pPr>
          <w:hyperlink w:anchor="_Toc85189872" w:history="1">
            <w:r w:rsidR="000B7BF9" w:rsidRPr="006461BD">
              <w:rPr>
                <w:rStyle w:val="Hyperlink"/>
                <w:rFonts w:eastAsiaTheme="majorEastAsia"/>
                <w:noProof/>
              </w:rPr>
              <w:t>6.</w:t>
            </w:r>
            <w:r w:rsidR="000B7BF9">
              <w:rPr>
                <w:rFonts w:asciiTheme="minorHAnsi" w:eastAsiaTheme="minorEastAsia" w:hAnsiTheme="minorHAnsi" w:cstheme="minorBidi"/>
                <w:b w:val="0"/>
                <w:caps w:val="0"/>
                <w:noProof/>
                <w:lang w:eastAsia="da-DK"/>
              </w:rPr>
              <w:tab/>
            </w:r>
            <w:r w:rsidR="000B7BF9" w:rsidRPr="006461BD">
              <w:rPr>
                <w:rStyle w:val="Hyperlink"/>
                <w:rFonts w:eastAsiaTheme="majorEastAsia"/>
                <w:noProof/>
              </w:rPr>
              <w:t>Sammenhæng med kommunens øvrige strategier og planer</w:t>
            </w:r>
            <w:r w:rsidR="000B7BF9">
              <w:rPr>
                <w:noProof/>
                <w:webHidden/>
              </w:rPr>
              <w:tab/>
            </w:r>
            <w:r w:rsidR="000B7BF9">
              <w:rPr>
                <w:noProof/>
                <w:webHidden/>
              </w:rPr>
              <w:fldChar w:fldCharType="begin"/>
            </w:r>
            <w:r w:rsidR="000B7BF9">
              <w:rPr>
                <w:noProof/>
                <w:webHidden/>
              </w:rPr>
              <w:instrText xml:space="preserve"> PAGEREF _Toc85189872 \h </w:instrText>
            </w:r>
            <w:r w:rsidR="000B7BF9">
              <w:rPr>
                <w:noProof/>
                <w:webHidden/>
              </w:rPr>
            </w:r>
            <w:r w:rsidR="000B7BF9">
              <w:rPr>
                <w:noProof/>
                <w:webHidden/>
              </w:rPr>
              <w:fldChar w:fldCharType="separate"/>
            </w:r>
            <w:r w:rsidR="000B7BF9">
              <w:rPr>
                <w:noProof/>
                <w:webHidden/>
              </w:rPr>
              <w:t>38</w:t>
            </w:r>
            <w:r w:rsidR="000B7BF9">
              <w:rPr>
                <w:noProof/>
                <w:webHidden/>
              </w:rPr>
              <w:fldChar w:fldCharType="end"/>
            </w:r>
          </w:hyperlink>
        </w:p>
        <w:p w14:paraId="39D361DA" w14:textId="27A7457F" w:rsidR="000B7BF9" w:rsidRDefault="00E76B92">
          <w:pPr>
            <w:pStyle w:val="Indholdsfortegnelse1"/>
            <w:rPr>
              <w:rFonts w:asciiTheme="minorHAnsi" w:eastAsiaTheme="minorEastAsia" w:hAnsiTheme="minorHAnsi" w:cstheme="minorBidi"/>
              <w:b w:val="0"/>
              <w:caps w:val="0"/>
              <w:noProof/>
              <w:lang w:eastAsia="da-DK"/>
            </w:rPr>
          </w:pPr>
          <w:hyperlink w:anchor="_Toc85189873" w:history="1">
            <w:r w:rsidR="000B7BF9" w:rsidRPr="006461BD">
              <w:rPr>
                <w:rStyle w:val="Hyperlink"/>
                <w:rFonts w:eastAsiaTheme="majorEastAsia"/>
                <w:noProof/>
              </w:rPr>
              <w:t>7.</w:t>
            </w:r>
            <w:r w:rsidR="000B7BF9">
              <w:rPr>
                <w:rFonts w:asciiTheme="minorHAnsi" w:eastAsiaTheme="minorEastAsia" w:hAnsiTheme="minorHAnsi" w:cstheme="minorBidi"/>
                <w:b w:val="0"/>
                <w:caps w:val="0"/>
                <w:noProof/>
                <w:lang w:eastAsia="da-DK"/>
              </w:rPr>
              <w:tab/>
            </w:r>
            <w:r w:rsidR="000B7BF9" w:rsidRPr="006461BD">
              <w:rPr>
                <w:rStyle w:val="Hyperlink"/>
                <w:rFonts w:eastAsiaTheme="majorEastAsia"/>
                <w:noProof/>
              </w:rPr>
              <w:t>Tidsplan</w:t>
            </w:r>
            <w:r w:rsidR="000B7BF9">
              <w:rPr>
                <w:noProof/>
                <w:webHidden/>
              </w:rPr>
              <w:tab/>
            </w:r>
            <w:r w:rsidR="000B7BF9">
              <w:rPr>
                <w:noProof/>
                <w:webHidden/>
              </w:rPr>
              <w:fldChar w:fldCharType="begin"/>
            </w:r>
            <w:r w:rsidR="000B7BF9">
              <w:rPr>
                <w:noProof/>
                <w:webHidden/>
              </w:rPr>
              <w:instrText xml:space="preserve"> PAGEREF _Toc85189873 \h </w:instrText>
            </w:r>
            <w:r w:rsidR="000B7BF9">
              <w:rPr>
                <w:noProof/>
                <w:webHidden/>
              </w:rPr>
            </w:r>
            <w:r w:rsidR="000B7BF9">
              <w:rPr>
                <w:noProof/>
                <w:webHidden/>
              </w:rPr>
              <w:fldChar w:fldCharType="separate"/>
            </w:r>
            <w:r w:rsidR="000B7BF9">
              <w:rPr>
                <w:noProof/>
                <w:webHidden/>
              </w:rPr>
              <w:t>40</w:t>
            </w:r>
            <w:r w:rsidR="000B7BF9">
              <w:rPr>
                <w:noProof/>
                <w:webHidden/>
              </w:rPr>
              <w:fldChar w:fldCharType="end"/>
            </w:r>
          </w:hyperlink>
        </w:p>
        <w:p w14:paraId="7D5DBBA9" w14:textId="68842A5F" w:rsidR="000B7BF9" w:rsidRDefault="00E76B92">
          <w:pPr>
            <w:pStyle w:val="Indholdsfortegnelse1"/>
            <w:rPr>
              <w:rFonts w:asciiTheme="minorHAnsi" w:eastAsiaTheme="minorEastAsia" w:hAnsiTheme="minorHAnsi" w:cstheme="minorBidi"/>
              <w:b w:val="0"/>
              <w:caps w:val="0"/>
              <w:noProof/>
              <w:lang w:eastAsia="da-DK"/>
            </w:rPr>
          </w:pPr>
          <w:hyperlink w:anchor="_Toc85189874" w:history="1">
            <w:r w:rsidR="000B7BF9" w:rsidRPr="006461BD">
              <w:rPr>
                <w:rStyle w:val="Hyperlink"/>
                <w:rFonts w:eastAsiaTheme="majorEastAsia"/>
                <w:noProof/>
              </w:rPr>
              <w:t>8.</w:t>
            </w:r>
            <w:r w:rsidR="000B7BF9">
              <w:rPr>
                <w:rFonts w:asciiTheme="minorHAnsi" w:eastAsiaTheme="minorEastAsia" w:hAnsiTheme="minorHAnsi" w:cstheme="minorBidi"/>
                <w:b w:val="0"/>
                <w:caps w:val="0"/>
                <w:noProof/>
                <w:lang w:eastAsia="da-DK"/>
              </w:rPr>
              <w:tab/>
            </w:r>
            <w:r w:rsidR="000B7BF9" w:rsidRPr="006461BD">
              <w:rPr>
                <w:rStyle w:val="Hyperlink"/>
                <w:rFonts w:eastAsiaTheme="majorEastAsia"/>
                <w:noProof/>
              </w:rPr>
              <w:t>Bilag</w:t>
            </w:r>
            <w:r w:rsidR="000B7BF9">
              <w:rPr>
                <w:noProof/>
                <w:webHidden/>
              </w:rPr>
              <w:tab/>
            </w:r>
            <w:r w:rsidR="000B7BF9">
              <w:rPr>
                <w:noProof/>
                <w:webHidden/>
              </w:rPr>
              <w:fldChar w:fldCharType="begin"/>
            </w:r>
            <w:r w:rsidR="000B7BF9">
              <w:rPr>
                <w:noProof/>
                <w:webHidden/>
              </w:rPr>
              <w:instrText xml:space="preserve"> PAGEREF _Toc85189874 \h </w:instrText>
            </w:r>
            <w:r w:rsidR="000B7BF9">
              <w:rPr>
                <w:noProof/>
                <w:webHidden/>
              </w:rPr>
            </w:r>
            <w:r w:rsidR="000B7BF9">
              <w:rPr>
                <w:noProof/>
                <w:webHidden/>
              </w:rPr>
              <w:fldChar w:fldCharType="separate"/>
            </w:r>
            <w:r w:rsidR="000B7BF9">
              <w:rPr>
                <w:noProof/>
                <w:webHidden/>
              </w:rPr>
              <w:t>42</w:t>
            </w:r>
            <w:r w:rsidR="000B7BF9">
              <w:rPr>
                <w:noProof/>
                <w:webHidden/>
              </w:rPr>
              <w:fldChar w:fldCharType="end"/>
            </w:r>
          </w:hyperlink>
        </w:p>
        <w:p w14:paraId="39F449E0" w14:textId="0FF54FF0" w:rsidR="007A7AC0" w:rsidRDefault="007A7AC0">
          <w:r>
            <w:rPr>
              <w:b/>
              <w:bCs/>
            </w:rPr>
            <w:fldChar w:fldCharType="end"/>
          </w:r>
        </w:p>
      </w:sdtContent>
    </w:sdt>
    <w:p w14:paraId="4B93EC2E" w14:textId="77777777" w:rsidR="007A7AC0" w:rsidRDefault="007A7AC0">
      <w:pPr>
        <w:suppressAutoHyphens w:val="0"/>
        <w:autoSpaceDN/>
        <w:spacing w:after="200" w:line="276" w:lineRule="auto"/>
        <w:textAlignment w:val="auto"/>
        <w:rPr>
          <w:rFonts w:ascii="Verdana" w:eastAsiaTheme="majorEastAsia" w:hAnsi="Verdana" w:cstheme="majorBidi"/>
          <w:b/>
          <w:bCs/>
          <w:caps/>
          <w:sz w:val="40"/>
          <w:szCs w:val="28"/>
        </w:rPr>
      </w:pPr>
      <w:r>
        <w:br w:type="page"/>
      </w:r>
    </w:p>
    <w:p w14:paraId="459F9EFA" w14:textId="78B2060D" w:rsidR="005C6EE6" w:rsidRPr="005C6EE6" w:rsidRDefault="005C6EE6" w:rsidP="00F876C1">
      <w:pPr>
        <w:pStyle w:val="Overskrift1"/>
        <w:rPr>
          <w:rFonts w:eastAsia="Times New Roman"/>
        </w:rPr>
      </w:pPr>
      <w:bookmarkStart w:id="4" w:name="_Toc85189829"/>
      <w:r w:rsidRPr="00F876C1">
        <w:lastRenderedPageBreak/>
        <w:t>Indledning</w:t>
      </w:r>
      <w:bookmarkEnd w:id="4"/>
      <w:bookmarkEnd w:id="3"/>
      <w:bookmarkEnd w:id="2"/>
      <w:bookmarkEnd w:id="1"/>
    </w:p>
    <w:p w14:paraId="61A742E7" w14:textId="1C84C9D4" w:rsidR="00986B8B" w:rsidRPr="00986B8B" w:rsidRDefault="006C7489" w:rsidP="005C6EE6">
      <w:r w:rsidRPr="00986B8B">
        <w:t xml:space="preserve">Kommunen skal hvert 6. år udarbejde en affaldsplan for den kommende planperiode. Planen skal udarbejdes med udgangspunkt i den nationale affaldsplan, og skal sætte rammen </w:t>
      </w:r>
      <w:r w:rsidR="00236F3A" w:rsidRPr="00986B8B">
        <w:t xml:space="preserve">for kommunens arbejde med egne og nationale krav og målsætninger på affaldsområdet. </w:t>
      </w:r>
    </w:p>
    <w:p w14:paraId="48003D5F" w14:textId="77777777" w:rsidR="00986B8B" w:rsidRDefault="00986B8B" w:rsidP="00E20E27">
      <w:pPr>
        <w:spacing w:after="0"/>
        <w:rPr>
          <w:i/>
          <w:iCs/>
        </w:rPr>
      </w:pPr>
    </w:p>
    <w:p w14:paraId="5F6B8392" w14:textId="22378BF0" w:rsidR="00986B8B" w:rsidRPr="00986B8B" w:rsidRDefault="00986B8B" w:rsidP="00E20E27">
      <w:pPr>
        <w:spacing w:after="0"/>
        <w:rPr>
          <w:i/>
          <w:iCs/>
        </w:rPr>
      </w:pPr>
      <w:r w:rsidRPr="00986B8B">
        <w:rPr>
          <w:i/>
          <w:iCs/>
        </w:rPr>
        <w:t>Lovgrundlag</w:t>
      </w:r>
    </w:p>
    <w:p w14:paraId="17A2ADF8" w14:textId="38A2FA5D" w:rsidR="005C6EE6" w:rsidRPr="005C6EE6" w:rsidRDefault="005C6EE6" w:rsidP="00E20E27">
      <w:pPr>
        <w:spacing w:after="0"/>
        <w:rPr>
          <w:rFonts w:ascii="Calibri" w:hAnsi="Calibri"/>
        </w:rPr>
      </w:pPr>
      <w:r w:rsidRPr="00986B8B">
        <w:t>EU’s affaldsdirektiv</w:t>
      </w:r>
      <w:r w:rsidRPr="00986B8B">
        <w:footnoteReference w:id="1"/>
      </w:r>
      <w:r w:rsidRPr="00986B8B">
        <w:t xml:space="preserve"> fastsætter i Artikel 28, at medlemsstaterne skal sikre, at deres myndigheder i overensstemmelse med direktivets artikel 1, 4, 13 og 16 udarbejder en eller flere affaldshåndteringsplaner</w:t>
      </w:r>
      <w:r w:rsidRPr="005C6EE6">
        <w:t xml:space="preserve">. </w:t>
      </w:r>
    </w:p>
    <w:p w14:paraId="56F8D211" w14:textId="77777777" w:rsidR="005C6EE6" w:rsidRPr="005C6EE6" w:rsidRDefault="005C6EE6" w:rsidP="005C6EE6">
      <w:r w:rsidRPr="005C6EE6">
        <w:t>Disse planer skal hver for sig eller tilsammen dække hele den pågældende medlemsstats område.</w:t>
      </w:r>
    </w:p>
    <w:p w14:paraId="229FC140" w14:textId="54D581A7" w:rsidR="005C6EE6" w:rsidRPr="005C6EE6" w:rsidRDefault="005C6EE6" w:rsidP="005C6EE6">
      <w:pPr>
        <w:rPr>
          <w:rFonts w:ascii="Calibri" w:hAnsi="Calibri"/>
        </w:rPr>
      </w:pPr>
      <w:r w:rsidRPr="005C6EE6">
        <w:t xml:space="preserve">Direktivet indeholder en række minimumskrav til indholdet af sådanne affaldshåndteringsplaner, og de er implementeret i dansk lov gennem §§ 46c &amp; 47 i </w:t>
      </w:r>
      <w:r w:rsidR="00386FF0">
        <w:t>m</w:t>
      </w:r>
      <w:r w:rsidRPr="005C6EE6">
        <w:t>iljøbeskyttelsesloven</w:t>
      </w:r>
      <w:r w:rsidRPr="005C6EE6">
        <w:rPr>
          <w:vertAlign w:val="superscript"/>
        </w:rPr>
        <w:footnoteReference w:id="2"/>
      </w:r>
      <w:r w:rsidRPr="005C6EE6">
        <w:t xml:space="preserve"> og kapitel 5 i </w:t>
      </w:r>
      <w:bookmarkStart w:id="5" w:name="_Hlk66215664"/>
      <w:r w:rsidR="00913B08">
        <w:t>a</w:t>
      </w:r>
      <w:r w:rsidRPr="005C6EE6">
        <w:t>ffaldsbekendtgørelsen</w:t>
      </w:r>
      <w:bookmarkEnd w:id="5"/>
      <w:r w:rsidRPr="005C6EE6">
        <w:rPr>
          <w:vertAlign w:val="superscript"/>
        </w:rPr>
        <w:footnoteReference w:id="3"/>
      </w:r>
    </w:p>
    <w:p w14:paraId="65C57D61" w14:textId="471DAEE0" w:rsidR="005C6EE6" w:rsidRDefault="005C6EE6" w:rsidP="005C6EE6">
      <w:r w:rsidRPr="005C6EE6">
        <w:t xml:space="preserve">I henhold til </w:t>
      </w:r>
      <w:r w:rsidR="00913B08">
        <w:t>a</w:t>
      </w:r>
      <w:r w:rsidRPr="005C6EE6">
        <w:t>ffaldsbekendtgørelsens § 14 skal Kommunalbestyrelsen således udarbejde og vedtage en 12-årig kommunal plan for håndtering af affald. Planen skal revideres mindst hvert 6. år.</w:t>
      </w:r>
    </w:p>
    <w:p w14:paraId="70E2494A" w14:textId="61A7D572" w:rsidR="00986B8B" w:rsidRDefault="00986B8B" w:rsidP="00986B8B">
      <w:r w:rsidRPr="005C6EE6">
        <w:t xml:space="preserve">Den kommunale affaldshåndteringsplan </w:t>
      </w:r>
      <w:r>
        <w:t xml:space="preserve">skal </w:t>
      </w:r>
      <w:r w:rsidRPr="005C6EE6">
        <w:t xml:space="preserve">ifølge </w:t>
      </w:r>
      <w:r>
        <w:t>a</w:t>
      </w:r>
      <w:r w:rsidRPr="005C6EE6">
        <w:t>ffaldsbekendtgørelsens § 14, stk. 4 udarbejdes med udgangspunkt i den nationale affaldshåndteringsplan, jf. § 46 c i lov om miljøbeskyttelse, og må ikke stride mod denne.</w:t>
      </w:r>
    </w:p>
    <w:p w14:paraId="7EB46887" w14:textId="77777777" w:rsidR="0016755E" w:rsidRPr="005C6EE6" w:rsidRDefault="0016755E" w:rsidP="00E20E27">
      <w:pPr>
        <w:spacing w:after="0"/>
      </w:pPr>
    </w:p>
    <w:p w14:paraId="58CAA329" w14:textId="170A315C" w:rsidR="00986B8B" w:rsidRPr="00986B8B" w:rsidRDefault="00986B8B" w:rsidP="00E20E27">
      <w:pPr>
        <w:spacing w:after="0"/>
        <w:rPr>
          <w:i/>
          <w:iCs/>
        </w:rPr>
      </w:pPr>
      <w:r w:rsidRPr="00986B8B">
        <w:rPr>
          <w:i/>
          <w:iCs/>
        </w:rPr>
        <w:t>Indholdskrav</w:t>
      </w:r>
    </w:p>
    <w:p w14:paraId="6467D6DD" w14:textId="77777777" w:rsidR="005C6EE6" w:rsidRPr="005C6EE6" w:rsidRDefault="005C6EE6" w:rsidP="00E20E27">
      <w:pPr>
        <w:spacing w:after="0"/>
      </w:pPr>
      <w:r w:rsidRPr="005C6EE6">
        <w:t>Den kommunale affaldshåndteringsplan skal indeholde:</w:t>
      </w:r>
    </w:p>
    <w:p w14:paraId="7EAADA50" w14:textId="77777777" w:rsidR="005C6EE6" w:rsidRPr="005C6EE6" w:rsidRDefault="005C6EE6" w:rsidP="005C6EE6">
      <w:r w:rsidRPr="005C6EE6">
        <w:t>1) En kortlægningsdel, som beskriver status for affaldsområdet i kommunen.</w:t>
      </w:r>
    </w:p>
    <w:p w14:paraId="7B861CD4" w14:textId="77777777" w:rsidR="005C6EE6" w:rsidRPr="005C6EE6" w:rsidRDefault="005C6EE6" w:rsidP="005C6EE6">
      <w:r w:rsidRPr="005C6EE6">
        <w:t>2) En målsætningsdel, som redegør for kommunens overordnede målsætninger på affaldsområdet.</w:t>
      </w:r>
    </w:p>
    <w:p w14:paraId="630CF543" w14:textId="77777777" w:rsidR="005C6EE6" w:rsidRPr="005C6EE6" w:rsidRDefault="005C6EE6" w:rsidP="005C6EE6">
      <w:r w:rsidRPr="005C6EE6">
        <w:t>3) En planlægningsdel med særlig fokus på planlægningen de første 6 år af planperioden.</w:t>
      </w:r>
    </w:p>
    <w:p w14:paraId="0329FC1C" w14:textId="11723C5E" w:rsidR="005C6EE6" w:rsidRPr="005C6EE6" w:rsidRDefault="005C6EE6" w:rsidP="005C6EE6">
      <w:r w:rsidRPr="005C6EE6">
        <w:t xml:space="preserve">Det fremgår endvidere af affaldsbekendtgørelsen, at udarbejdelsen af affaldsplanen skal ske i overensstemmelse med nedenstående affaldshierarki, som fremgår af </w:t>
      </w:r>
      <w:r w:rsidR="00386FF0">
        <w:t>m</w:t>
      </w:r>
      <w:r w:rsidRPr="005C6EE6">
        <w:t>iljøbeskyttelseslovens § 6b:</w:t>
      </w:r>
    </w:p>
    <w:p w14:paraId="7CB97FCE" w14:textId="40100E0C" w:rsidR="005C6EE6" w:rsidRPr="00C56A8A" w:rsidRDefault="005C6EE6" w:rsidP="00236F3A">
      <w:pPr>
        <w:pStyle w:val="Listeafsnit"/>
        <w:numPr>
          <w:ilvl w:val="0"/>
          <w:numId w:val="25"/>
        </w:numPr>
        <w:rPr>
          <w:rFonts w:ascii="Arial" w:hAnsi="Arial" w:cs="Arial"/>
        </w:rPr>
      </w:pPr>
      <w:r w:rsidRPr="00C56A8A">
        <w:rPr>
          <w:rFonts w:ascii="Arial" w:hAnsi="Arial" w:cs="Arial"/>
        </w:rPr>
        <w:t>Affaldsforebyggelse.</w:t>
      </w:r>
    </w:p>
    <w:p w14:paraId="73690689" w14:textId="26F95915" w:rsidR="005C6EE6" w:rsidRPr="00C56A8A" w:rsidRDefault="005C6EE6" w:rsidP="00236F3A">
      <w:pPr>
        <w:pStyle w:val="Listeafsnit"/>
        <w:numPr>
          <w:ilvl w:val="0"/>
          <w:numId w:val="25"/>
        </w:numPr>
        <w:rPr>
          <w:rFonts w:ascii="Arial" w:hAnsi="Arial" w:cs="Arial"/>
        </w:rPr>
      </w:pPr>
      <w:r w:rsidRPr="00C56A8A">
        <w:rPr>
          <w:rFonts w:ascii="Arial" w:hAnsi="Arial" w:cs="Arial"/>
        </w:rPr>
        <w:t>Forberedelse med henblik på genbrug.</w:t>
      </w:r>
    </w:p>
    <w:p w14:paraId="1F2C9A8D" w14:textId="467C570A" w:rsidR="005C6EE6" w:rsidRPr="00C56A8A" w:rsidRDefault="005C6EE6" w:rsidP="00236F3A">
      <w:pPr>
        <w:pStyle w:val="Listeafsnit"/>
        <w:numPr>
          <w:ilvl w:val="0"/>
          <w:numId w:val="25"/>
        </w:numPr>
        <w:rPr>
          <w:rFonts w:ascii="Arial" w:hAnsi="Arial" w:cs="Arial"/>
        </w:rPr>
      </w:pPr>
      <w:r w:rsidRPr="00C56A8A">
        <w:rPr>
          <w:rFonts w:ascii="Arial" w:hAnsi="Arial" w:cs="Arial"/>
        </w:rPr>
        <w:t>Genanvendelse.</w:t>
      </w:r>
    </w:p>
    <w:p w14:paraId="0D31D28A" w14:textId="4DA5DC6C" w:rsidR="005C6EE6" w:rsidRPr="00C56A8A" w:rsidRDefault="005C6EE6" w:rsidP="00236F3A">
      <w:pPr>
        <w:pStyle w:val="Listeafsnit"/>
        <w:numPr>
          <w:ilvl w:val="0"/>
          <w:numId w:val="25"/>
        </w:numPr>
        <w:rPr>
          <w:rFonts w:ascii="Arial" w:hAnsi="Arial" w:cs="Arial"/>
        </w:rPr>
      </w:pPr>
      <w:r w:rsidRPr="00C56A8A">
        <w:rPr>
          <w:rFonts w:ascii="Arial" w:hAnsi="Arial" w:cs="Arial"/>
        </w:rPr>
        <w:t>Anden nyttiggørelse.</w:t>
      </w:r>
    </w:p>
    <w:p w14:paraId="4B66BE44" w14:textId="504B3621" w:rsidR="005C6EE6" w:rsidRPr="00C56A8A" w:rsidRDefault="005C6EE6" w:rsidP="00236F3A">
      <w:pPr>
        <w:pStyle w:val="Listeafsnit"/>
        <w:numPr>
          <w:ilvl w:val="0"/>
          <w:numId w:val="25"/>
        </w:numPr>
        <w:rPr>
          <w:rFonts w:ascii="Arial" w:hAnsi="Arial" w:cs="Arial"/>
        </w:rPr>
      </w:pPr>
      <w:r w:rsidRPr="00C56A8A">
        <w:rPr>
          <w:rFonts w:ascii="Arial" w:hAnsi="Arial" w:cs="Arial"/>
        </w:rPr>
        <w:lastRenderedPageBreak/>
        <w:t>Bortskaffelse.</w:t>
      </w:r>
    </w:p>
    <w:p w14:paraId="3F9E1124" w14:textId="3CC3D500" w:rsidR="005C6EE6" w:rsidRPr="005C6EE6" w:rsidRDefault="005C6EE6" w:rsidP="005C6EE6">
      <w:r w:rsidRPr="005C6EE6">
        <w:t xml:space="preserve">Affaldshierarkiet kan dog, efter stk. 2 i </w:t>
      </w:r>
      <w:r w:rsidR="00386FF0">
        <w:t>m</w:t>
      </w:r>
      <w:r w:rsidRPr="005C6EE6">
        <w:t>iljøbeskyttelseslovens § 6b fraviges for særlige affaldsstrømme, hvis fravigelsen er begrundet i en livscyklusbetragtning, og det fremgår af stk. 3, at anvendelsen af affaldshierarkiet og fravigelser herfra skal ske med henblik på at opnå det bedste samlede miljømæssige resultat, sådan som det er formuleret i lovens § 1 og § 3.</w:t>
      </w:r>
    </w:p>
    <w:p w14:paraId="274491A3" w14:textId="126027FA" w:rsidR="0016755E" w:rsidRDefault="005C6EE6" w:rsidP="005C6EE6">
      <w:r w:rsidRPr="005C6EE6">
        <w:t>Det betyder, at affaldsplanen skal medvirke til at værne natur og miljø, så samfundsudviklingen kan ske på et bæredygtigt grundlag i respekt for menneskets livsvilkår og for bevarelsen af dyre- og plantelivet, og herunder bl.a. begrænse anvendelse og spild af råstoffer og andre ressourcer, samt fremme genanvendelse og begrænse problemer i forbindelse med affaldshåndtering.</w:t>
      </w:r>
    </w:p>
    <w:p w14:paraId="0DEA65A2" w14:textId="77777777" w:rsidR="00E20E27" w:rsidRDefault="00E20E27" w:rsidP="00E20E27">
      <w:pPr>
        <w:spacing w:after="0"/>
      </w:pPr>
    </w:p>
    <w:p w14:paraId="1E91621A" w14:textId="4B427CC2" w:rsidR="0016755E" w:rsidRPr="0016755E" w:rsidRDefault="0016755E" w:rsidP="00E20E27">
      <w:pPr>
        <w:spacing w:after="0"/>
        <w:rPr>
          <w:i/>
          <w:iCs/>
        </w:rPr>
      </w:pPr>
      <w:r w:rsidRPr="0016755E">
        <w:rPr>
          <w:i/>
          <w:iCs/>
        </w:rPr>
        <w:t>Den nationale affaldsplan</w:t>
      </w:r>
    </w:p>
    <w:p w14:paraId="1BD4D38F" w14:textId="6A1AF562" w:rsidR="005B4D03" w:rsidRPr="005B4D03" w:rsidRDefault="005B4D03" w:rsidP="00E20E27">
      <w:pPr>
        <w:spacing w:after="0"/>
      </w:pPr>
      <w:r w:rsidRPr="005B4D03">
        <w:t>Miljøministeriet offentliggjorde den 07.07.20 en national affaldshåndteringsplan, ’Handlingsplan for cirkulær økonomi – National plan for forebyggelse og håndtering af affald 2020-2032’, som bl.a. bygger på en aftale, indgået i juni 2020 mellem regeringen og et flertal af Folketingets partier om en Klimaplan</w:t>
      </w:r>
      <w:r w:rsidRPr="005B4D03">
        <w:rPr>
          <w:rStyle w:val="Fodnotehenvisning"/>
        </w:rPr>
        <w:footnoteReference w:id="4"/>
      </w:r>
      <w:r w:rsidRPr="005B4D03">
        <w:t xml:space="preserve"> for en grøn affaldssektor og cirkulær økonomi. Handlingsplanen er lagt til grund for nærværende affaldsplan.</w:t>
      </w:r>
    </w:p>
    <w:p w14:paraId="634ECAC5" w14:textId="60C5C380" w:rsidR="0016755E" w:rsidRDefault="0016755E" w:rsidP="005C6EE6"/>
    <w:p w14:paraId="1DEA00D6" w14:textId="06EA0F6E" w:rsidR="0016755E" w:rsidRPr="0016755E" w:rsidRDefault="0016755E" w:rsidP="00E20E27">
      <w:pPr>
        <w:spacing w:after="0"/>
        <w:rPr>
          <w:i/>
          <w:iCs/>
        </w:rPr>
      </w:pPr>
      <w:r w:rsidRPr="0016755E">
        <w:rPr>
          <w:i/>
          <w:iCs/>
        </w:rPr>
        <w:t>Målsætninger</w:t>
      </w:r>
    </w:p>
    <w:p w14:paraId="3CEE7821" w14:textId="362B76A9" w:rsidR="005C6EE6" w:rsidRPr="005C6EE6" w:rsidRDefault="005C6EE6" w:rsidP="00E20E27">
      <w:pPr>
        <w:spacing w:after="0"/>
      </w:pPr>
      <w:r w:rsidRPr="0016755E">
        <w:t>De indikatorer, som regeringen vil lægge til grund ved den løbende evaluering af resultaterne af den nationale affaldshåndteringsplan, udgøres af</w:t>
      </w:r>
      <w:r w:rsidRPr="005C6EE6">
        <w:t xml:space="preserve"> de bindende EU-målsætninger</w:t>
      </w:r>
      <w:r w:rsidR="0016755E">
        <w:t>. Disse målsætninger ses</w:t>
      </w:r>
      <w:r w:rsidRPr="005C6EE6">
        <w:t xml:space="preserve"> i deres helhed </w:t>
      </w:r>
      <w:r w:rsidR="0016755E">
        <w:t xml:space="preserve">i </w:t>
      </w:r>
      <w:r w:rsidRPr="005C6EE6">
        <w:t>Bilag I.</w:t>
      </w:r>
    </w:p>
    <w:p w14:paraId="238370F1" w14:textId="77777777" w:rsidR="005C6EE6" w:rsidRPr="005C6EE6" w:rsidRDefault="005C6EE6" w:rsidP="005C6EE6">
      <w:r w:rsidRPr="005C6EE6">
        <w:t>For det affald, som kommunen har medansvar for, gælder der følgende målsætninger:</w:t>
      </w:r>
    </w:p>
    <w:p w14:paraId="0490970F" w14:textId="70E1CC1C" w:rsidR="005C6EE6" w:rsidRPr="0016755E" w:rsidRDefault="005C6EE6" w:rsidP="005C6EE6">
      <w:pPr>
        <w:pStyle w:val="Listeafsnit"/>
        <w:numPr>
          <w:ilvl w:val="0"/>
          <w:numId w:val="20"/>
        </w:numPr>
        <w:rPr>
          <w:rFonts w:ascii="Arial" w:hAnsi="Arial" w:cs="Arial"/>
          <w:i/>
          <w:iCs/>
        </w:rPr>
      </w:pPr>
      <w:r w:rsidRPr="0016755E">
        <w:rPr>
          <w:rFonts w:ascii="Arial" w:hAnsi="Arial" w:cs="Arial"/>
          <w:i/>
          <w:iCs/>
        </w:rPr>
        <w:t>Genanvendelsen af husholdningsaffald og lignende affald fra andre kilder</w:t>
      </w:r>
      <w:r w:rsidR="0016755E" w:rsidRPr="0016755E">
        <w:rPr>
          <w:rFonts w:ascii="Arial" w:hAnsi="Arial" w:cs="Arial"/>
          <w:i/>
          <w:iCs/>
        </w:rPr>
        <w:t>, såkaldt ”kommunalt affald”,</w:t>
      </w:r>
      <w:r w:rsidRPr="0016755E">
        <w:rPr>
          <w:rFonts w:ascii="Arial" w:hAnsi="Arial" w:cs="Arial"/>
          <w:i/>
          <w:iCs/>
        </w:rPr>
        <w:t xml:space="preserve"> øges til mindst 50 pct. i 2020, 55 pct. i 2025, 60 pct. i 2030 og 65 pct. i 2035.</w:t>
      </w:r>
    </w:p>
    <w:p w14:paraId="39FFD532" w14:textId="77777777" w:rsidR="005C6EE6" w:rsidRPr="0016755E" w:rsidRDefault="005C6EE6" w:rsidP="005C6EE6">
      <w:pPr>
        <w:pStyle w:val="Listeafsnit"/>
        <w:numPr>
          <w:ilvl w:val="0"/>
          <w:numId w:val="20"/>
        </w:numPr>
        <w:rPr>
          <w:rFonts w:ascii="Arial" w:hAnsi="Arial" w:cs="Arial"/>
          <w:i/>
          <w:iCs/>
        </w:rPr>
      </w:pPr>
      <w:r w:rsidRPr="0016755E">
        <w:rPr>
          <w:rFonts w:ascii="Arial" w:hAnsi="Arial" w:cs="Arial"/>
          <w:i/>
          <w:iCs/>
        </w:rPr>
        <w:t>Deponi af husholdningsaffald og lignende affald fra andre kilder fastholdes under 10 pct.</w:t>
      </w:r>
    </w:p>
    <w:p w14:paraId="26A2A23A" w14:textId="77777777" w:rsidR="005C6EE6" w:rsidRPr="0016755E" w:rsidRDefault="005C6EE6" w:rsidP="005C6EE6">
      <w:pPr>
        <w:pStyle w:val="Listeafsnit"/>
        <w:numPr>
          <w:ilvl w:val="0"/>
          <w:numId w:val="20"/>
        </w:numPr>
        <w:rPr>
          <w:rFonts w:ascii="Arial" w:hAnsi="Arial" w:cs="Arial"/>
          <w:i/>
          <w:iCs/>
        </w:rPr>
      </w:pPr>
      <w:r w:rsidRPr="0016755E">
        <w:rPr>
          <w:rFonts w:ascii="Arial" w:hAnsi="Arial" w:cs="Arial"/>
          <w:i/>
          <w:iCs/>
        </w:rPr>
        <w:t>Genanvendelsen af emballageaffald (fra både husholdninger og virksomheder) øges til mindst 65 pct. i 2025 og 70 pct. i 2030.</w:t>
      </w:r>
    </w:p>
    <w:p w14:paraId="4836545A" w14:textId="77777777" w:rsidR="005C6EE6" w:rsidRPr="0016755E" w:rsidRDefault="005C6EE6" w:rsidP="005C6EE6">
      <w:pPr>
        <w:pStyle w:val="Listeafsnit"/>
        <w:numPr>
          <w:ilvl w:val="0"/>
          <w:numId w:val="20"/>
        </w:numPr>
        <w:rPr>
          <w:rFonts w:ascii="Arial" w:hAnsi="Arial" w:cs="Arial"/>
          <w:i/>
          <w:iCs/>
        </w:rPr>
      </w:pPr>
      <w:r w:rsidRPr="0016755E">
        <w:rPr>
          <w:rFonts w:ascii="Arial" w:hAnsi="Arial" w:cs="Arial"/>
          <w:i/>
          <w:iCs/>
        </w:rPr>
        <w:t>Genanvendelsen af glasemballageaffald (fra både husholdninger og virksomheder) holdes over 70 pct. i 2025 og 75 pct. i 2030.</w:t>
      </w:r>
    </w:p>
    <w:p w14:paraId="674ECCE5" w14:textId="77777777" w:rsidR="005C6EE6" w:rsidRPr="0016755E" w:rsidRDefault="005C6EE6" w:rsidP="005C6EE6">
      <w:pPr>
        <w:pStyle w:val="Listeafsnit"/>
        <w:numPr>
          <w:ilvl w:val="0"/>
          <w:numId w:val="20"/>
        </w:numPr>
        <w:rPr>
          <w:rFonts w:ascii="Arial" w:hAnsi="Arial" w:cs="Arial"/>
          <w:i/>
          <w:iCs/>
        </w:rPr>
      </w:pPr>
      <w:r w:rsidRPr="0016755E">
        <w:rPr>
          <w:rFonts w:ascii="Arial" w:hAnsi="Arial" w:cs="Arial"/>
          <w:i/>
          <w:iCs/>
        </w:rPr>
        <w:t>Genanvendelsen af plastemballageaffald (fra både husholdninger og virksomheder) øges til mindst 50 pct. i 2025 og 55 pct. i 2030.</w:t>
      </w:r>
    </w:p>
    <w:p w14:paraId="551762FA" w14:textId="77777777" w:rsidR="005C6EE6" w:rsidRPr="0016755E" w:rsidRDefault="005C6EE6" w:rsidP="005C6EE6">
      <w:pPr>
        <w:pStyle w:val="Listeafsnit"/>
        <w:numPr>
          <w:ilvl w:val="0"/>
          <w:numId w:val="20"/>
        </w:numPr>
        <w:rPr>
          <w:rFonts w:ascii="Arial" w:hAnsi="Arial" w:cs="Arial"/>
          <w:i/>
          <w:iCs/>
        </w:rPr>
      </w:pPr>
      <w:r w:rsidRPr="0016755E">
        <w:rPr>
          <w:rFonts w:ascii="Arial" w:hAnsi="Arial" w:cs="Arial"/>
          <w:i/>
          <w:iCs/>
        </w:rPr>
        <w:t xml:space="preserve">Genanvendelsen af papir- og papemballageaffald (fra både husholdninger og virksomheder) holdes over 75 pct. i 2025 og øges til mindst 80 pct. i 2030. </w:t>
      </w:r>
    </w:p>
    <w:p w14:paraId="7D3CFF56" w14:textId="77777777" w:rsidR="005C6EE6" w:rsidRPr="0016755E" w:rsidRDefault="005C6EE6" w:rsidP="005C6EE6">
      <w:pPr>
        <w:pStyle w:val="Listeafsnit"/>
        <w:numPr>
          <w:ilvl w:val="0"/>
          <w:numId w:val="20"/>
        </w:numPr>
        <w:rPr>
          <w:rFonts w:ascii="Arial" w:hAnsi="Arial" w:cs="Arial"/>
          <w:i/>
          <w:iCs/>
        </w:rPr>
      </w:pPr>
      <w:r w:rsidRPr="0016755E">
        <w:rPr>
          <w:rFonts w:ascii="Arial" w:hAnsi="Arial" w:cs="Arial"/>
          <w:i/>
          <w:iCs/>
        </w:rPr>
        <w:t>Genanvendelsen af jernemballageaffald (fra både husholdninger og virksomheder) holdes over 70 pct. i 2025 og 80 pct. i 2030.</w:t>
      </w:r>
    </w:p>
    <w:p w14:paraId="281C8360" w14:textId="77777777" w:rsidR="005C6EE6" w:rsidRPr="0016755E" w:rsidRDefault="005C6EE6" w:rsidP="005C6EE6">
      <w:pPr>
        <w:pStyle w:val="Listeafsnit"/>
        <w:numPr>
          <w:ilvl w:val="0"/>
          <w:numId w:val="20"/>
        </w:numPr>
        <w:rPr>
          <w:rFonts w:ascii="Arial" w:hAnsi="Arial" w:cs="Arial"/>
          <w:i/>
          <w:iCs/>
        </w:rPr>
      </w:pPr>
      <w:r w:rsidRPr="0016755E">
        <w:rPr>
          <w:rFonts w:ascii="Arial" w:hAnsi="Arial" w:cs="Arial"/>
          <w:i/>
          <w:iCs/>
        </w:rPr>
        <w:lastRenderedPageBreak/>
        <w:t>Genanvendelsen af aluminiumsemballageaffald (fra både husholdninger og virksomheder) holdes over 50 pct. i 2025 og 60 pct. i 2030.</w:t>
      </w:r>
    </w:p>
    <w:p w14:paraId="68E8BA89" w14:textId="77777777" w:rsidR="005C6EE6" w:rsidRPr="0016755E" w:rsidRDefault="005C6EE6" w:rsidP="005C6EE6">
      <w:pPr>
        <w:pStyle w:val="Listeafsnit"/>
        <w:numPr>
          <w:ilvl w:val="0"/>
          <w:numId w:val="20"/>
        </w:numPr>
        <w:rPr>
          <w:rFonts w:ascii="Arial" w:hAnsi="Arial" w:cs="Arial"/>
          <w:i/>
          <w:iCs/>
        </w:rPr>
      </w:pPr>
      <w:r w:rsidRPr="0016755E">
        <w:rPr>
          <w:rFonts w:ascii="Arial" w:hAnsi="Arial" w:cs="Arial"/>
          <w:i/>
          <w:iCs/>
        </w:rPr>
        <w:t>Genanvendelsen af træemballageaffald (fra både husholdninger og virksomheder) holdes over 25 pct. i 2025 og 30 pct. i 2030.</w:t>
      </w:r>
    </w:p>
    <w:p w14:paraId="4349109B" w14:textId="77777777" w:rsidR="005C6EE6" w:rsidRPr="0016755E" w:rsidRDefault="005C6EE6" w:rsidP="005C6EE6">
      <w:pPr>
        <w:pStyle w:val="Listeafsnit"/>
        <w:numPr>
          <w:ilvl w:val="0"/>
          <w:numId w:val="20"/>
        </w:numPr>
        <w:rPr>
          <w:rFonts w:ascii="Arial" w:hAnsi="Arial" w:cs="Arial"/>
          <w:i/>
          <w:iCs/>
        </w:rPr>
      </w:pPr>
      <w:r w:rsidRPr="0016755E">
        <w:rPr>
          <w:rFonts w:ascii="Arial" w:hAnsi="Arial" w:cs="Arial"/>
          <w:i/>
          <w:iCs/>
        </w:rPr>
        <w:t>Særskilt indsamling af elektronikaffaldet holdes over 65 pct. fra 2019.</w:t>
      </w:r>
    </w:p>
    <w:p w14:paraId="09DEC650" w14:textId="07EF8639" w:rsidR="005B4D03" w:rsidRPr="0016755E" w:rsidRDefault="005C6EE6" w:rsidP="005C6EE6">
      <w:pPr>
        <w:pStyle w:val="Listeafsnit"/>
        <w:numPr>
          <w:ilvl w:val="0"/>
          <w:numId w:val="20"/>
        </w:numPr>
        <w:rPr>
          <w:rFonts w:ascii="Arial" w:hAnsi="Arial" w:cs="Arial"/>
          <w:i/>
          <w:iCs/>
        </w:rPr>
      </w:pPr>
      <w:r w:rsidRPr="0016755E">
        <w:rPr>
          <w:rFonts w:ascii="Arial" w:hAnsi="Arial" w:cs="Arial"/>
          <w:i/>
          <w:iCs/>
        </w:rPr>
        <w:t>Særskilt indsamling af batteriaffaldet fastholdes over 45 pct.</w:t>
      </w:r>
    </w:p>
    <w:p w14:paraId="0F5844BC" w14:textId="77777777" w:rsidR="005B4D03" w:rsidRPr="005B4D03" w:rsidRDefault="005B4D03" w:rsidP="005B4D03">
      <w:r w:rsidRPr="005B4D03">
        <w:t xml:space="preserve">Miljøministeriet har i den nationale affaldsplan opsat et ’pejlemærke’ for, hvor meget kommunerne forventes at skulle genanvende af husholdningsaffaldet (dvs. eksklusive haveaffald, husholdningslignende restaffald og bygge- og anlægsaffald) i 2025, hvis de skal bidrage til opfyldelse af 55 %-kravet for ’kommunalt affald’. </w:t>
      </w:r>
    </w:p>
    <w:p w14:paraId="48519F29" w14:textId="77777777" w:rsidR="005B4D03" w:rsidRPr="005B4D03" w:rsidRDefault="005B4D03" w:rsidP="005B4D03">
      <w:r w:rsidRPr="005B4D03">
        <w:t xml:space="preserve">Pejlemærket lyder på 50 %. Det forudsætter, at kommunerne samtidig genanvender 75 % af haveaffaldet og at erhvervene genanvender 55 % af den andel af deres affald, som hører ind under kategorien ’kommunalt affald’. </w:t>
      </w:r>
    </w:p>
    <w:p w14:paraId="7E53D0F1" w14:textId="2B9B8823" w:rsidR="005B4D03" w:rsidRPr="005B4D03" w:rsidRDefault="005B4D03" w:rsidP="005B4D03">
      <w:r w:rsidRPr="005B4D03">
        <w:t>Den reelle genanvendelse af husholdningsaffaldet, regnet efter denne formel, lå i 2020 på 45,7 % i Vordingborg Kommune</w:t>
      </w:r>
      <w:r w:rsidR="0016755E">
        <w:t xml:space="preserve">, </w:t>
      </w:r>
      <w:r w:rsidRPr="005B4D03">
        <w:t>mens landsgennemsnittet ifølge Miljøministeriet lå på 30 % i 2019.</w:t>
      </w:r>
    </w:p>
    <w:p w14:paraId="11A6CAE8" w14:textId="77777777" w:rsidR="005B4D03" w:rsidRPr="00236F3A" w:rsidRDefault="005B4D03" w:rsidP="00E20E27">
      <w:pPr>
        <w:spacing w:after="0"/>
      </w:pPr>
    </w:p>
    <w:p w14:paraId="07CC120C" w14:textId="5FF317B0" w:rsidR="005C6EE6" w:rsidRPr="0016755E" w:rsidRDefault="005C6EE6" w:rsidP="005C6EE6">
      <w:r w:rsidRPr="005C6EE6">
        <w:rPr>
          <w:i/>
          <w:iCs/>
        </w:rPr>
        <w:t>Reel genanvendelse</w:t>
      </w:r>
      <w:r w:rsidRPr="005C6EE6">
        <w:rPr>
          <w:i/>
          <w:iCs/>
        </w:rPr>
        <w:br/>
      </w:r>
      <w:r w:rsidRPr="005C6EE6">
        <w:t xml:space="preserve">Den genanvendelse, der refereres til i målsætningerne, er reel genanvendelse. </w:t>
      </w:r>
      <w:r w:rsidR="0016755E">
        <w:t>Reel genanvendelse er, j</w:t>
      </w:r>
      <w:r w:rsidRPr="005C6EE6">
        <w:t>f. affaldsbekendtgørelsens § 3, stk. 1 nr. 39, at affaldet uden yderligere forberedende foranstaltninger bringes ind i den oparbejdningsproces, hvor affaldet konkret omdannes til produkter, materialer eller stoffer, og bekendtgørelsens bilag 8 indeholder en ikke-udtømmende liste over konkrete beregningspunkter for genanvendelse af forskellige affaldsmaterialer (ligesom EU-Kommissionen i en gennemførelsesafgørelse af 7. juni 2019</w:t>
      </w:r>
      <w:r w:rsidRPr="0016755E">
        <w:footnoteReference w:id="5"/>
      </w:r>
      <w:r w:rsidRPr="005C6EE6">
        <w:t xml:space="preserve"> nærmere har beskrevet beregningsmetoderne).</w:t>
      </w:r>
    </w:p>
    <w:p w14:paraId="3ADD1C1E" w14:textId="77777777" w:rsidR="005C6EE6" w:rsidRPr="005C6EE6" w:rsidRDefault="005C6EE6" w:rsidP="005C6EE6">
      <w:r w:rsidRPr="005C6EE6">
        <w:t>Dette til forskel fra tidligere, hvor genanvendelsesmålene alene gik på, hvor mange procent af affaldet, der var indsamlet med henblik på genanvendelse.</w:t>
      </w:r>
    </w:p>
    <w:p w14:paraId="4F8C88DC" w14:textId="77777777" w:rsidR="005C6EE6" w:rsidRPr="005C6EE6" w:rsidRDefault="005C6EE6" w:rsidP="005C6EE6">
      <w:r w:rsidRPr="005C6EE6">
        <w:t>Efter den hidtil gældende nationale affaldsplan</w:t>
      </w:r>
      <w:r w:rsidRPr="005C6EE6">
        <w:rPr>
          <w:vertAlign w:val="superscript"/>
        </w:rPr>
        <w:footnoteReference w:id="6"/>
      </w:r>
      <w:r w:rsidRPr="005C6EE6">
        <w:t xml:space="preserve"> skal kommunerne således i 2022 indsamle 50 % af en række nærmere definerede kommunale affaldstyper med henblik på genanvendelse, og beregningsmetoden herfor er angivet i planens Bilag 5.</w:t>
      </w:r>
    </w:p>
    <w:p w14:paraId="5D6B3138" w14:textId="77777777" w:rsidR="005C6EE6" w:rsidRPr="005C6EE6" w:rsidRDefault="005C6EE6" w:rsidP="005C6EE6">
      <w:r w:rsidRPr="005C6EE6">
        <w:t xml:space="preserve">Forskellen på de to målepunkter er illustreret i </w:t>
      </w:r>
      <w:r w:rsidRPr="005C6EE6">
        <w:rPr>
          <w:i/>
          <w:iCs/>
        </w:rPr>
        <w:t>Figur 1.1.</w:t>
      </w:r>
      <w:r w:rsidRPr="005C6EE6">
        <w:t xml:space="preserve"> </w:t>
      </w:r>
    </w:p>
    <w:p w14:paraId="744C0E41" w14:textId="77777777" w:rsidR="005C6EE6" w:rsidRPr="005C6EE6" w:rsidRDefault="005C6EE6" w:rsidP="005C6EE6">
      <w:r w:rsidRPr="005C6EE6">
        <w:rPr>
          <w:noProof/>
        </w:rPr>
        <w:lastRenderedPageBreak/>
        <w:drawing>
          <wp:inline distT="0" distB="0" distL="0" distR="0" wp14:anchorId="500964E2" wp14:editId="13701BFA">
            <wp:extent cx="6120130" cy="2720340"/>
            <wp:effectExtent l="0" t="0" r="0" b="3810"/>
            <wp:docPr id="2" name="Billede 21">
              <a:extLst xmlns:a="http://schemas.openxmlformats.org/drawingml/2006/main">
                <a:ext uri="{FF2B5EF4-FFF2-40B4-BE49-F238E27FC236}">
                  <a16:creationId xmlns:a16="http://schemas.microsoft.com/office/drawing/2014/main" id="{A0172438-91A3-4F78-8E09-A3E3424DC0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1">
                      <a:extLst>
                        <a:ext uri="{FF2B5EF4-FFF2-40B4-BE49-F238E27FC236}">
                          <a16:creationId xmlns:a16="http://schemas.microsoft.com/office/drawing/2014/main" id="{A0172438-91A3-4F78-8E09-A3E3424DC05B}"/>
                        </a:ext>
                      </a:extLst>
                    </pic:cNvPr>
                    <pic:cNvPicPr>
                      <a:picLocks noChangeAspect="1"/>
                    </pic:cNvPicPr>
                  </pic:nvPicPr>
                  <pic:blipFill>
                    <a:blip r:embed="rId11"/>
                    <a:stretch>
                      <a:fillRect/>
                    </a:stretch>
                  </pic:blipFill>
                  <pic:spPr>
                    <a:xfrm>
                      <a:off x="0" y="0"/>
                      <a:ext cx="6120130" cy="2720340"/>
                    </a:xfrm>
                    <a:prstGeom prst="rect">
                      <a:avLst/>
                    </a:prstGeom>
                    <a:noFill/>
                    <a:ln cap="flat">
                      <a:noFill/>
                    </a:ln>
                  </pic:spPr>
                </pic:pic>
              </a:graphicData>
            </a:graphic>
          </wp:inline>
        </w:drawing>
      </w:r>
    </w:p>
    <w:p w14:paraId="24CBB672" w14:textId="77777777" w:rsidR="005C6EE6" w:rsidRPr="00236F3A" w:rsidRDefault="005C6EE6" w:rsidP="005C6EE6">
      <w:pPr>
        <w:rPr>
          <w:i/>
          <w:iCs/>
        </w:rPr>
      </w:pPr>
      <w:r w:rsidRPr="00236F3A">
        <w:rPr>
          <w:i/>
          <w:iCs/>
        </w:rPr>
        <w:t xml:space="preserve">Figur 1.1.: Forskellen i målepunktet for, hvor genanvendelsesprocenten hidtil har været beregnet, og hvor den fremover skal beregnes. Kun reelt genanvendt affald regnes med. De tab, der sker, fra affaldet er indsamlet, til det genanvendes, udgør divideret med den indsamlede mængde den såkaldte tabsrate. </w:t>
      </w:r>
    </w:p>
    <w:p w14:paraId="3622FD5F" w14:textId="47E5275F" w:rsidR="005C6EE6" w:rsidRPr="005C6EE6" w:rsidRDefault="005C6EE6" w:rsidP="005C6EE6">
      <w:r w:rsidRPr="005C6EE6">
        <w:t xml:space="preserve">I kortlægningsdelen </w:t>
      </w:r>
      <w:r w:rsidR="00F743B2">
        <w:t>(kapitel 2)</w:t>
      </w:r>
      <w:r w:rsidRPr="005C6EE6">
        <w:t xml:space="preserve"> er genanvendelsesprocenten søgt beregnet efter begge metoder.</w:t>
      </w:r>
    </w:p>
    <w:p w14:paraId="775EE3B3" w14:textId="21BC837C" w:rsidR="005C6EE6" w:rsidRPr="005C6EE6" w:rsidRDefault="005C6EE6" w:rsidP="005C6EE6">
      <w:r w:rsidRPr="005C6EE6">
        <w:t>Således efter Bilag 5 i den hidtil gældende nationale affaldsplan med henblik på at dokumentere, i hvilket omfang Vordingborg Kommune er på vej mod målet for 2022, og efter de</w:t>
      </w:r>
      <w:r w:rsidR="00236F3A">
        <w:t xml:space="preserve"> </w:t>
      </w:r>
      <w:r w:rsidRPr="005C6EE6">
        <w:t>nye principper med henblik på at vurdere, hvor langt kommunen er fra 2025-målet.</w:t>
      </w:r>
    </w:p>
    <w:p w14:paraId="0E524117" w14:textId="1F8CDDEE" w:rsidR="005C6EE6" w:rsidRPr="005C6EE6" w:rsidRDefault="005C6EE6" w:rsidP="005C6EE6">
      <w:r w:rsidRPr="005C6EE6">
        <w:t>I mangel af eksakt kendskab til, hvor stor en andel af det affald, der er indsamlet med henblik på genanvendelse, der reelt tabes i processen inden det indgår i et nyt produkt, er der til grund for beregningen inddraget de generelle tabs</w:t>
      </w:r>
      <w:r w:rsidR="00F743B2">
        <w:t>rater</w:t>
      </w:r>
      <w:r w:rsidRPr="005C6EE6">
        <w:t xml:space="preserve"> i genanvendelsesprocesserne for de forskellige affaldstyper, som Miljøstyrelsen har anvendt ved de to seneste nationale affaldsstatistikker (for 2018 og 2019).</w:t>
      </w:r>
    </w:p>
    <w:p w14:paraId="0497DAF6" w14:textId="41C2433C" w:rsidR="005C6EE6" w:rsidRPr="005C6EE6" w:rsidRDefault="005C6EE6" w:rsidP="005C6EE6">
      <w:r w:rsidRPr="005C6EE6">
        <w:t>For affaldstyper, hvor der ikke er fastlagt generelle tabs</w:t>
      </w:r>
      <w:r w:rsidR="00F743B2">
        <w:t>rater</w:t>
      </w:r>
      <w:r w:rsidRPr="005C6EE6">
        <w:t>, er anlagt skøn.</w:t>
      </w:r>
    </w:p>
    <w:p w14:paraId="56636FFF" w14:textId="77777777" w:rsidR="008B7F73" w:rsidRDefault="008B7F73" w:rsidP="00E20E27">
      <w:pPr>
        <w:spacing w:after="0"/>
        <w:rPr>
          <w:i/>
          <w:iCs/>
        </w:rPr>
      </w:pPr>
    </w:p>
    <w:p w14:paraId="50B7CD68" w14:textId="78EDD077" w:rsidR="005C6EE6" w:rsidRPr="005C6EE6" w:rsidRDefault="00DB71AE" w:rsidP="005C6EE6">
      <w:r w:rsidRPr="00DB71AE">
        <w:rPr>
          <w:i/>
          <w:iCs/>
        </w:rPr>
        <w:t>T</w:t>
      </w:r>
      <w:r w:rsidR="003B741D">
        <w:rPr>
          <w:i/>
          <w:iCs/>
        </w:rPr>
        <w:t>re</w:t>
      </w:r>
      <w:r w:rsidR="005C6EE6" w:rsidRPr="005C6EE6">
        <w:rPr>
          <w:i/>
          <w:iCs/>
        </w:rPr>
        <w:t xml:space="preserve"> supplerende afsnit om klima, sammenhængen med andre planer og en tidsplan</w:t>
      </w:r>
      <w:r w:rsidR="005C6EE6" w:rsidRPr="005C6EE6">
        <w:rPr>
          <w:i/>
          <w:iCs/>
        </w:rPr>
        <w:br/>
      </w:r>
      <w:r w:rsidR="00236F3A">
        <w:t>Vordingborg K</w:t>
      </w:r>
      <w:r w:rsidR="005C6EE6" w:rsidRPr="005C6EE6">
        <w:t xml:space="preserve">ommune har besluttet at supplere den obligatoriske del af affaldsplanen med yderligere </w:t>
      </w:r>
      <w:r>
        <w:t>t</w:t>
      </w:r>
      <w:r w:rsidR="003B741D">
        <w:t>re</w:t>
      </w:r>
      <w:r>
        <w:t xml:space="preserve"> </w:t>
      </w:r>
      <w:r w:rsidR="005C6EE6" w:rsidRPr="005C6EE6">
        <w:t>afsnit:</w:t>
      </w:r>
    </w:p>
    <w:p w14:paraId="364FF7E8" w14:textId="77777777" w:rsidR="005C6EE6" w:rsidRPr="005C6EE6" w:rsidRDefault="005C6EE6" w:rsidP="005C6EE6">
      <w:r w:rsidRPr="005C6EE6">
        <w:t>Afsnit 5 om planens klimamæssige konsekvenser, hvor det opsummeres, hvad det betyder for udslippet af klimagasser – først og fremmest CO2 -, at der genanvendes mere og forberedes mere for genbrug.</w:t>
      </w:r>
    </w:p>
    <w:p w14:paraId="34E6530D" w14:textId="33FA864D" w:rsidR="005C6EE6" w:rsidRDefault="005C6EE6" w:rsidP="005C6EE6">
      <w:r w:rsidRPr="005C6EE6">
        <w:t>Afsnit 6 om affaldsplanens sammenhæng med Vordingborg Kommunes øvrige strategier og planer, hvor det f.eks. beskrives, hvordan kommunen gennem disse vil bidrage til øget affaldsforebyggelse.</w:t>
      </w:r>
    </w:p>
    <w:p w14:paraId="79F7A857" w14:textId="31E0903A" w:rsidR="003B741D" w:rsidRDefault="003B741D" w:rsidP="003B741D">
      <w:pPr>
        <w:rPr>
          <w:rFonts w:ascii="Roboto" w:hAnsi="Roboto"/>
        </w:rPr>
      </w:pPr>
      <w:r w:rsidRPr="003B741D">
        <w:rPr>
          <w:rFonts w:ascii="Roboto" w:hAnsi="Roboto"/>
        </w:rPr>
        <w:t>Afsnit 7 om tids- og aktivitetsplan,</w:t>
      </w:r>
      <w:r>
        <w:rPr>
          <w:rFonts w:ascii="Roboto" w:hAnsi="Roboto"/>
        </w:rPr>
        <w:t xml:space="preserve"> hvor læseren kan skaffe sig et hurtigt overblik over, hvad der er tænkt af tiltag og hvornår.</w:t>
      </w:r>
    </w:p>
    <w:p w14:paraId="7AF77520" w14:textId="5E1ADE96" w:rsidR="008B7F73" w:rsidRPr="008B7F73" w:rsidRDefault="008B7F73" w:rsidP="008B7F73">
      <w:pPr>
        <w:rPr>
          <w:rFonts w:ascii="Calibri" w:eastAsiaTheme="minorHAnsi" w:hAnsi="Calibri" w:cs="Calibri"/>
        </w:rPr>
      </w:pPr>
      <w:r w:rsidRPr="008B7F73">
        <w:rPr>
          <w:i/>
          <w:iCs/>
        </w:rPr>
        <w:t>Forholdet til reglerne for strategisk miljøvurdering og reglerne efter habitatbekendtgørelsen</w:t>
      </w:r>
      <w:r w:rsidRPr="008B7F73">
        <w:rPr>
          <w:i/>
          <w:iCs/>
        </w:rPr>
        <w:br/>
      </w:r>
      <w:r>
        <w:t xml:space="preserve">Vordingborg Kommune har vurderet, at affaldsplanen ikke skal underkastes en strategisk </w:t>
      </w:r>
      <w:r>
        <w:lastRenderedPageBreak/>
        <w:t>miljøvurdering efter lov om miljøvurdering af planer og programmer, eftersom planen ikke fastlægger rammerne for fremtidige anlægstilladelser til projekter, der er omfattet af bekendtgørelsens bilag 1 og 2, eller i øvrigt  fastlægger rammerne for fremtidige anlægstilladelser, der kan forventes at få væsentlig indvirkning på miljøet.</w:t>
      </w:r>
    </w:p>
    <w:p w14:paraId="025541E4" w14:textId="593B45C4" w:rsidR="008B7F73" w:rsidRDefault="008B7F73" w:rsidP="008B7F73">
      <w:r>
        <w:t>Af samme årsager har kommunen vurderet, at planen ej heller kan påvirke Natura 2000-områder i Vordingborg Kommune væsentligt, hvorfor en nærmere konsekvensvurdering efter habitatbekendtgørelsen ej heller er nødvendig.</w:t>
      </w:r>
    </w:p>
    <w:p w14:paraId="0F09D166" w14:textId="77777777" w:rsidR="008B7F73" w:rsidRDefault="008B7F73" w:rsidP="003B741D">
      <w:pPr>
        <w:rPr>
          <w:rFonts w:ascii="Roboto" w:hAnsi="Roboto" w:cs="Times New Roman"/>
        </w:rPr>
      </w:pPr>
    </w:p>
    <w:p w14:paraId="73D0B53F" w14:textId="77777777" w:rsidR="008B7F73" w:rsidRDefault="005C6EE6" w:rsidP="008B7F73">
      <w:pPr>
        <w:pStyle w:val="Overskrift1"/>
        <w:numPr>
          <w:ilvl w:val="0"/>
          <w:numId w:val="0"/>
        </w:numPr>
        <w:rPr>
          <w:rFonts w:eastAsia="Times New Roman"/>
        </w:rPr>
      </w:pPr>
      <w:bookmarkStart w:id="6" w:name="_Toc65581885"/>
      <w:bookmarkStart w:id="7" w:name="_Toc65685133"/>
      <w:bookmarkStart w:id="8" w:name="_Toc66217081"/>
      <w:bookmarkStart w:id="9" w:name="_Toc68083488"/>
      <w:bookmarkStart w:id="10" w:name="_Toc68090421"/>
      <w:bookmarkStart w:id="11" w:name="_Toc68530388"/>
      <w:bookmarkStart w:id="12" w:name="_Toc68582116"/>
      <w:bookmarkStart w:id="13" w:name="_Toc68611297"/>
      <w:bookmarkStart w:id="14" w:name="_Toc69216614"/>
      <w:bookmarkStart w:id="15" w:name="_Toc70950908"/>
      <w:bookmarkStart w:id="16" w:name="_Toc76126038"/>
      <w:r w:rsidRPr="005C6EE6">
        <w:rPr>
          <w:rFonts w:eastAsia="Times New Roman"/>
        </w:rPr>
        <w:t xml:space="preserve"> </w:t>
      </w:r>
    </w:p>
    <w:p w14:paraId="52A83A47" w14:textId="77777777" w:rsidR="008B7F73" w:rsidRDefault="008B7F73">
      <w:pPr>
        <w:suppressAutoHyphens w:val="0"/>
        <w:autoSpaceDN/>
        <w:spacing w:after="200" w:line="276" w:lineRule="auto"/>
        <w:textAlignment w:val="auto"/>
        <w:rPr>
          <w:rFonts w:ascii="Verdana" w:eastAsia="Times New Roman" w:hAnsi="Verdana" w:cstheme="majorBidi"/>
          <w:b/>
          <w:bCs/>
          <w:caps/>
          <w:sz w:val="40"/>
          <w:szCs w:val="28"/>
        </w:rPr>
      </w:pPr>
      <w:r>
        <w:rPr>
          <w:rFonts w:eastAsia="Times New Roman"/>
        </w:rPr>
        <w:br w:type="page"/>
      </w:r>
    </w:p>
    <w:p w14:paraId="31B4D0C9" w14:textId="28C6188A" w:rsidR="005C6EE6" w:rsidRPr="005C6EE6" w:rsidRDefault="005C6EE6" w:rsidP="00155C44">
      <w:pPr>
        <w:pStyle w:val="Overskrift1"/>
        <w:rPr>
          <w:rFonts w:eastAsia="Times New Roman"/>
        </w:rPr>
      </w:pPr>
      <w:bookmarkStart w:id="17" w:name="_Toc85189830"/>
      <w:r w:rsidRPr="005C6EE6">
        <w:lastRenderedPageBreak/>
        <w:t>Kortlægningsdel</w:t>
      </w:r>
      <w:bookmarkEnd w:id="6"/>
      <w:bookmarkEnd w:id="7"/>
      <w:bookmarkEnd w:id="8"/>
      <w:bookmarkEnd w:id="9"/>
      <w:bookmarkEnd w:id="10"/>
      <w:bookmarkEnd w:id="11"/>
      <w:bookmarkEnd w:id="12"/>
      <w:bookmarkEnd w:id="13"/>
      <w:bookmarkEnd w:id="14"/>
      <w:bookmarkEnd w:id="15"/>
      <w:bookmarkEnd w:id="16"/>
      <w:bookmarkEnd w:id="17"/>
    </w:p>
    <w:p w14:paraId="00BA7C20" w14:textId="7242CA38" w:rsidR="005C6EE6" w:rsidRPr="005C6EE6" w:rsidRDefault="005C6EE6" w:rsidP="005C6EE6">
      <w:r w:rsidRPr="005C6EE6">
        <w:t xml:space="preserve">I henhold til </w:t>
      </w:r>
      <w:r w:rsidR="00386FF0">
        <w:t>a</w:t>
      </w:r>
      <w:r w:rsidRPr="005C6EE6">
        <w:t>ffaldsbekendtgørelsens § 15 skal affaldsplanens kortlægningsdel indeholde:</w:t>
      </w:r>
    </w:p>
    <w:p w14:paraId="0D388795" w14:textId="77777777" w:rsidR="005C6EE6" w:rsidRPr="005C6EE6" w:rsidRDefault="005C6EE6" w:rsidP="005C6EE6">
      <w:r w:rsidRPr="005C6EE6">
        <w:t>1) Opgørelser over mængderne af affald, som produceres i kommunen, fordelt på den branche, hvor affaldet stammer fra, affaldstyper (EAK-koder), jf. bekendtgørelsens bilag 2, eller affaldsfraktioner, og hvordan affaldet er nyttiggjort eller bortskaffet.</w:t>
      </w:r>
    </w:p>
    <w:p w14:paraId="4CB61C32" w14:textId="77777777" w:rsidR="005C6EE6" w:rsidRPr="005C6EE6" w:rsidRDefault="005C6EE6" w:rsidP="005C6EE6">
      <w:r w:rsidRPr="005C6EE6">
        <w:t>2) Opgørelser over mængderne af affald, som eksporteres fra eller importeres til kommunen, fordelt på affaldstyper.</w:t>
      </w:r>
    </w:p>
    <w:p w14:paraId="016490EF" w14:textId="77777777" w:rsidR="005C6EE6" w:rsidRPr="005C6EE6" w:rsidRDefault="005C6EE6" w:rsidP="005C6EE6">
      <w:r w:rsidRPr="005C6EE6">
        <w:t>3) Oversigt over og beskrivelser af indsamlings- og anvisningsordninger for affald.</w:t>
      </w:r>
    </w:p>
    <w:p w14:paraId="0A18C5B1" w14:textId="77777777" w:rsidR="005C6EE6" w:rsidRPr="005C6EE6" w:rsidRDefault="005C6EE6" w:rsidP="005C6EE6">
      <w:r w:rsidRPr="005C6EE6">
        <w:t>4) Oversigt over og beskrivelser af deponerings- og forbrændingsanlæg, som kommunalbestyrelsen anvender eller anviser til, samt oplysninger om tilførte mængder af affald og kapacitet til rådighed.</w:t>
      </w:r>
    </w:p>
    <w:p w14:paraId="7364D8DD" w14:textId="77777777" w:rsidR="005C6EE6" w:rsidRPr="005C6EE6" w:rsidRDefault="005C6EE6" w:rsidP="005C6EE6">
      <w:r w:rsidRPr="005C6EE6">
        <w:t>5) Oplysninger om sorterings- og behandlingsanlæg m.v., som kommunalbestyrelsen anvender eller anviser til.</w:t>
      </w:r>
    </w:p>
    <w:p w14:paraId="7EE07926" w14:textId="77777777" w:rsidR="005C6EE6" w:rsidRPr="005C6EE6" w:rsidRDefault="005C6EE6" w:rsidP="005C6EE6">
      <w:r w:rsidRPr="005C6EE6">
        <w:t>6) Oplysninger om kommunalbestyrelsens omkostninger ved håndtering af affald fordelt på ordninger for husholdninger og virksomheder.</w:t>
      </w:r>
    </w:p>
    <w:p w14:paraId="0494ADC1" w14:textId="7030D23B" w:rsidR="005C6EE6" w:rsidRDefault="005C6EE6" w:rsidP="005C6EE6">
      <w:r w:rsidRPr="005C6EE6">
        <w:t>Alle affaldsdata er opsamlet i Bilagene IIa-IIf til affaldsplanen, og i det følgende opridses hovedtendenserne:</w:t>
      </w:r>
    </w:p>
    <w:p w14:paraId="1BFE0910" w14:textId="77777777" w:rsidR="003B741D" w:rsidRPr="005C6EE6" w:rsidRDefault="003B741D" w:rsidP="005C6EE6">
      <w:pPr>
        <w:rPr>
          <w:rFonts w:ascii="Calibri" w:hAnsi="Calibri" w:cs="Times New Roman"/>
        </w:rPr>
      </w:pPr>
    </w:p>
    <w:p w14:paraId="56DA7DD5" w14:textId="7A2AABE1" w:rsidR="005C6EE6" w:rsidRPr="007A7AC0" w:rsidRDefault="005C6EE6" w:rsidP="007A7AC0">
      <w:pPr>
        <w:pStyle w:val="Overskrift2"/>
      </w:pPr>
      <w:bookmarkStart w:id="18" w:name="_Toc65581886"/>
      <w:bookmarkStart w:id="19" w:name="_Toc68582117"/>
      <w:bookmarkStart w:id="20" w:name="_Toc68611298"/>
      <w:bookmarkStart w:id="21" w:name="_Toc69216615"/>
      <w:bookmarkStart w:id="22" w:name="_Toc70950909"/>
      <w:bookmarkStart w:id="23" w:name="_Toc76126039"/>
      <w:bookmarkStart w:id="24" w:name="_Toc85189831"/>
      <w:r w:rsidRPr="007A7AC0">
        <w:t>Opgørelser over mængderne af affald, som produceres i kommunen</w:t>
      </w:r>
      <w:bookmarkEnd w:id="18"/>
      <w:bookmarkEnd w:id="19"/>
      <w:bookmarkEnd w:id="20"/>
      <w:bookmarkEnd w:id="21"/>
      <w:bookmarkEnd w:id="22"/>
      <w:bookmarkEnd w:id="23"/>
      <w:bookmarkEnd w:id="24"/>
    </w:p>
    <w:p w14:paraId="171A417A" w14:textId="3A908862" w:rsidR="005C6EE6" w:rsidRPr="005C6EE6" w:rsidRDefault="005C6EE6" w:rsidP="00F876C1">
      <w:pPr>
        <w:pStyle w:val="Overskrift3"/>
        <w:rPr>
          <w:rFonts w:ascii="Calibri Light" w:eastAsia="Times New Roman" w:hAnsi="Calibri Light"/>
          <w:sz w:val="24"/>
          <w:szCs w:val="24"/>
        </w:rPr>
      </w:pPr>
      <w:bookmarkStart w:id="25" w:name="_Toc68530389"/>
      <w:bookmarkStart w:id="26" w:name="_Toc68582118"/>
      <w:bookmarkStart w:id="27" w:name="_Toc68611299"/>
      <w:bookmarkStart w:id="28" w:name="_Toc69216616"/>
      <w:bookmarkStart w:id="29" w:name="_Toc70950910"/>
      <w:bookmarkStart w:id="30" w:name="_Toc76126040"/>
      <w:bookmarkStart w:id="31" w:name="_Toc85189832"/>
      <w:r w:rsidRPr="00F876C1">
        <w:t>Husholdningsaffald</w:t>
      </w:r>
      <w:bookmarkEnd w:id="25"/>
      <w:bookmarkEnd w:id="26"/>
      <w:bookmarkEnd w:id="27"/>
      <w:bookmarkEnd w:id="28"/>
      <w:bookmarkEnd w:id="29"/>
      <w:bookmarkEnd w:id="30"/>
      <w:bookmarkEnd w:id="31"/>
    </w:p>
    <w:p w14:paraId="654EAAC7" w14:textId="77777777" w:rsidR="005C6EE6" w:rsidRPr="005C6EE6" w:rsidRDefault="005C6EE6" w:rsidP="005C6EE6">
      <w:bookmarkStart w:id="32" w:name="_Toc68530390"/>
      <w:r w:rsidRPr="005C6EE6">
        <w:t>I Bilag IIa er opgjort hvor store mængder af de fokusmaterialer (mad-, pap-, papir-, plast-, metal-, glas-, træ- og restaffald samt stort og småt brændbart fra husholdninger), der var forudsat indsamlet mindst 50 % af med henblik på genanvendelse, der er blevet indsamlet siden 2010, og genanvendelsen er beregnet efter den hidtidige metode.</w:t>
      </w:r>
    </w:p>
    <w:p w14:paraId="15FA7CBF" w14:textId="77777777" w:rsidR="005C6EE6" w:rsidRPr="005C6EE6" w:rsidRDefault="005C6EE6" w:rsidP="005C6EE6">
      <w:r w:rsidRPr="005C6EE6">
        <w:t>I Figur 2.1. er vist udviklingen i genanvendelsen beregnet efter den hidtil gældende metode.</w:t>
      </w:r>
    </w:p>
    <w:p w14:paraId="459066CE" w14:textId="77777777" w:rsidR="005C6EE6" w:rsidRPr="005C6EE6" w:rsidRDefault="005C6EE6" w:rsidP="005C6EE6">
      <w:r w:rsidRPr="005C6EE6">
        <w:t>Det ses, hvorledes genanvendelsen steg i 2015, hvilket skyldtes indførelse af udsortering af rent træ til genanvendelse på genbrugspladserne, og så igen i 2018 som følge af udrulning af nye ordninger for indsamlingen ved husstanden af seks genanvendelige fokusmaterialer – ud over restaffald. Udrulningen fik først fuld effekt fra 2019, hvor det ses, at målet for 2022 om 50 % indsamlet med henblik på genanvendelse blev nået – så godt og vel.</w:t>
      </w:r>
    </w:p>
    <w:p w14:paraId="4FC4C83F" w14:textId="77777777" w:rsidR="005C6EE6" w:rsidRPr="005C6EE6" w:rsidRDefault="005C6EE6" w:rsidP="005C6EE6">
      <w:r w:rsidRPr="005C6EE6">
        <w:t>I Figur 2.2. er det vist, hvordan husstandsindsamlingen af de forskellige affaldstyper og -fraktioner har udviklet sig siden den seneste affaldsplan blev vedtaget i 2014, og det bemærkes, hvordan andelen til forbrænding er faldet perioden igennem.</w:t>
      </w:r>
    </w:p>
    <w:p w14:paraId="4B4309CE" w14:textId="77777777" w:rsidR="005C6EE6" w:rsidRPr="005C6EE6" w:rsidRDefault="005C6EE6" w:rsidP="005C6EE6">
      <w:pPr>
        <w:rPr>
          <w:rFonts w:ascii="Verdana" w:hAnsi="Verdana"/>
        </w:rPr>
      </w:pPr>
      <w:r w:rsidRPr="005C6EE6">
        <w:rPr>
          <w:noProof/>
        </w:rPr>
        <w:lastRenderedPageBreak/>
        <w:drawing>
          <wp:inline distT="0" distB="0" distL="0" distR="0" wp14:anchorId="4EEE128C" wp14:editId="1E4A5EB3">
            <wp:extent cx="4572000" cy="2743200"/>
            <wp:effectExtent l="0" t="0" r="0" b="0"/>
            <wp:docPr id="7" name="Diagram 7">
              <a:extLst xmlns:a="http://schemas.openxmlformats.org/drawingml/2006/main">
                <a:ext uri="{FF2B5EF4-FFF2-40B4-BE49-F238E27FC236}">
                  <a16:creationId xmlns:a16="http://schemas.microsoft.com/office/drawing/2014/main" id="{51D03964-B935-4422-BDE6-F506831B66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DBF368" w14:textId="21E5A159" w:rsidR="005C6EE6" w:rsidRDefault="005C6EE6" w:rsidP="005C6EE6">
      <w:pPr>
        <w:rPr>
          <w:i/>
          <w:iCs/>
        </w:rPr>
      </w:pPr>
      <w:r w:rsidRPr="00BB78A2">
        <w:rPr>
          <w:i/>
          <w:iCs/>
        </w:rPr>
        <w:t>Figur 2.1. Udviklingen i genanvendelsesprocenten i perioden 2010-2020 for Vordingborg Kommune, beregnet efter Bilag 5 i den hidtil gældende nationale affaldsplan (dvs. som andelen af en række nærmere definerede fokusmaterialer, der er indsamlet med henblik på genanvendelse).</w:t>
      </w:r>
    </w:p>
    <w:p w14:paraId="016BA8FB" w14:textId="77777777" w:rsidR="00BB78A2" w:rsidRPr="00BB78A2" w:rsidRDefault="00BB78A2" w:rsidP="005C6EE6">
      <w:pPr>
        <w:rPr>
          <w:i/>
          <w:iCs/>
        </w:rPr>
      </w:pPr>
    </w:p>
    <w:p w14:paraId="4215D93D" w14:textId="77777777" w:rsidR="005C6EE6" w:rsidRPr="005C6EE6" w:rsidRDefault="005C6EE6" w:rsidP="005C6EE6">
      <w:pPr>
        <w:rPr>
          <w:rFonts w:ascii="Verdana" w:hAnsi="Verdana"/>
        </w:rPr>
      </w:pPr>
      <w:r w:rsidRPr="005C6EE6">
        <w:rPr>
          <w:noProof/>
        </w:rPr>
        <w:drawing>
          <wp:inline distT="0" distB="0" distL="0" distR="0" wp14:anchorId="261FCAB3" wp14:editId="2CB00E6B">
            <wp:extent cx="4572000" cy="2743200"/>
            <wp:effectExtent l="0" t="0" r="0" b="0"/>
            <wp:docPr id="15" name="Diagram 15">
              <a:extLst xmlns:a="http://schemas.openxmlformats.org/drawingml/2006/main">
                <a:ext uri="{FF2B5EF4-FFF2-40B4-BE49-F238E27FC236}">
                  <a16:creationId xmlns:a16="http://schemas.microsoft.com/office/drawing/2014/main" id="{21726C8E-C7AB-4400-BE69-50B466E185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3BC7AF" w14:textId="77777777" w:rsidR="005C6EE6" w:rsidRPr="00BB78A2" w:rsidRDefault="005C6EE6" w:rsidP="005C6EE6">
      <w:pPr>
        <w:rPr>
          <w:i/>
          <w:iCs/>
        </w:rPr>
      </w:pPr>
      <w:r w:rsidRPr="00BB78A2">
        <w:rPr>
          <w:i/>
          <w:iCs/>
        </w:rPr>
        <w:t>Figur 2.2. Udviklingen i husstands- og kubeindsamlet affald og fordelingen på affaldstyper og -fraktioner. Angivet i kg/husstand/år.</w:t>
      </w:r>
    </w:p>
    <w:p w14:paraId="1F686C34" w14:textId="77777777" w:rsidR="005C6EE6" w:rsidRPr="005C6EE6" w:rsidRDefault="005C6EE6" w:rsidP="005C6EE6">
      <w:r w:rsidRPr="005C6EE6">
        <w:t>I Bilag IIb er opgjort de samlede mængder kommunalt affald, indsamlet i perioden 2017-2020, sammenholdt med basisåret 2014 (startåret for den hidtidige affaldsplan). Det er specifikt opgjort, hvor meget af det, der er husstandsindsamlet.</w:t>
      </w:r>
    </w:p>
    <w:p w14:paraId="040BC263" w14:textId="05F38312" w:rsidR="005C6EE6" w:rsidRPr="005C6EE6" w:rsidRDefault="005C6EE6" w:rsidP="005C6EE6">
      <w:r w:rsidRPr="005C6EE6">
        <w:t xml:space="preserve">Kommunalt affald adskiller sig fra Bilag 5-affaldet ved – ud over at omfatte de ovenfor anførte fokusmaterialer </w:t>
      </w:r>
      <w:r w:rsidR="00BB78A2">
        <w:t>–</w:t>
      </w:r>
      <w:r w:rsidRPr="005C6EE6">
        <w:t xml:space="preserve"> så også at omfatte haveaffald, elektronikskrot og batterier samt husholdningslignende restaffald fra erhverv. Der foreligger endnu ingen officielle danske </w:t>
      </w:r>
      <w:r w:rsidRPr="005C6EE6">
        <w:lastRenderedPageBreak/>
        <w:t>retningslinjer for, hvordan mængden af kommunalt affald skal beregnes, så dette er kommunens bedste bud p.t.</w:t>
      </w:r>
    </w:p>
    <w:p w14:paraId="522D0BFB" w14:textId="77777777" w:rsidR="005C6EE6" w:rsidRPr="005C6EE6" w:rsidRDefault="005C6EE6" w:rsidP="005C6EE6">
      <w:pPr>
        <w:rPr>
          <w:rFonts w:ascii="Calibri" w:hAnsi="Calibri"/>
        </w:rPr>
      </w:pPr>
      <w:r w:rsidRPr="005C6EE6">
        <w:t>De mængder, der er indsamlet med henblik på genanvendelse, er korrigeret med de generelle tabsfaktorer, som Miljøstyrelsen har anvendt ved udarbejdelse af de to seneste affaldsstatistikker</w:t>
      </w:r>
      <w:r w:rsidRPr="005C6EE6">
        <w:rPr>
          <w:vertAlign w:val="superscript"/>
        </w:rPr>
        <w:footnoteReference w:id="7"/>
      </w:r>
      <w:r w:rsidRPr="005C6EE6">
        <w:t>, og bedste bud på genanvendelsesprocenten efter den nye beregningsmetode er angivet på baggrund heraf. For affaldstyper og fraktioner, hvor Miljøstyrelsen ikke har angivet tabsfaktorer, er anvendt bedste skøn.</w:t>
      </w:r>
    </w:p>
    <w:p w14:paraId="253188FB" w14:textId="3AF42E75" w:rsidR="005C6EE6" w:rsidRDefault="005C6EE6" w:rsidP="005C6EE6">
      <w:r w:rsidRPr="005C6EE6">
        <w:t>I Figur 2.3. er gengivet udviklingen i genanvendelsesprocenten, beregnet efter begge metoder, i periode 2017-2020, sammenholdt med basisåret 2014.</w:t>
      </w:r>
    </w:p>
    <w:p w14:paraId="44A71E30" w14:textId="77777777" w:rsidR="00CE582F" w:rsidRPr="005C6EE6" w:rsidRDefault="00CE582F" w:rsidP="005C6EE6"/>
    <w:p w14:paraId="7860D521" w14:textId="77777777" w:rsidR="005C6EE6" w:rsidRPr="005C6EE6" w:rsidRDefault="005C6EE6" w:rsidP="005C6EE6">
      <w:pPr>
        <w:rPr>
          <w:rFonts w:ascii="Verdana" w:hAnsi="Verdana"/>
        </w:rPr>
      </w:pPr>
      <w:r w:rsidRPr="005C6EE6">
        <w:rPr>
          <w:noProof/>
        </w:rPr>
        <w:drawing>
          <wp:inline distT="0" distB="0" distL="0" distR="0" wp14:anchorId="7925ED18" wp14:editId="3F05A3D6">
            <wp:extent cx="4572000" cy="2743200"/>
            <wp:effectExtent l="0" t="0" r="0" b="0"/>
            <wp:docPr id="31" name="Diagram 31">
              <a:extLst xmlns:a="http://schemas.openxmlformats.org/drawingml/2006/main">
                <a:ext uri="{FF2B5EF4-FFF2-40B4-BE49-F238E27FC236}">
                  <a16:creationId xmlns:a16="http://schemas.microsoft.com/office/drawing/2014/main" id="{7789C6B2-1A8A-4982-B5AF-9547E14D2D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DD4BEC" w14:textId="3BF3B242" w:rsidR="005C6EE6" w:rsidRPr="00BB78A2" w:rsidRDefault="005C6EE6" w:rsidP="005C6EE6">
      <w:pPr>
        <w:rPr>
          <w:i/>
          <w:iCs/>
        </w:rPr>
      </w:pPr>
      <w:r w:rsidRPr="00BB78A2">
        <w:rPr>
          <w:i/>
          <w:iCs/>
        </w:rPr>
        <w:t>Figur 2.3. Udviklingen i genanvendelsesprocenten for kommunalt affald samlet set i Vordingborg Kommune i perioden 2017-2020, sammenholdt med basisåret 2014 og beregnet efter den hidtidige metode og den nye metode. Se teksten for nærmere forklaring. Målet er 55 % i 2025, regnet efter ny metode.</w:t>
      </w:r>
    </w:p>
    <w:p w14:paraId="05B67D2C" w14:textId="77777777" w:rsidR="005C6EE6" w:rsidRPr="005C6EE6" w:rsidRDefault="005C6EE6" w:rsidP="005C6EE6">
      <w:r w:rsidRPr="005C6EE6">
        <w:t>Det bemærkes, at Vordingborg Kommune i 2019 og 2020 var meget tæt på at have nået målet for 2025 om 55 % reel genanvendelse af den andel af det kommunale affald, som kommunen har ansvar for håndteringen af.</w:t>
      </w:r>
    </w:p>
    <w:p w14:paraId="44ECABB2" w14:textId="77777777" w:rsidR="005C6EE6" w:rsidRPr="005C6EE6" w:rsidRDefault="005C6EE6" w:rsidP="005C6EE6">
      <w:r w:rsidRPr="005C6EE6">
        <w:t xml:space="preserve">Under anvendelse af de CO2-ækvivalenter, som ifølge den nationale affaldsplans afsnit om klima angiveligt opnås ved genanvendelse af forskellige affaldstyper, er klimaeffekten af den reelle genanvendelse af de kommunale affaldstyper søgt beregnet, og de fremgår af tabellerne i Bilag IV, ligesom de er opsamlet i Figur 5.1 i afsnittet om planens klimamæssige betydning. For affaldstyper og fraktioner, hvor den nationale affaldsplan ikke angiver CO2-ækvivalenter, er anvendt tilsvarende ækvivalenter fra den af DTU og SDU i 2011 udviklede vejledning om CO2-opgørelser i den danske </w:t>
      </w:r>
      <w:r w:rsidRPr="005C6EE6">
        <w:lastRenderedPageBreak/>
        <w:t>affaldsbranche</w:t>
      </w:r>
      <w:r w:rsidRPr="005C6EE6">
        <w:rPr>
          <w:vertAlign w:val="superscript"/>
        </w:rPr>
        <w:footnoteReference w:id="8"/>
      </w:r>
      <w:r w:rsidRPr="005C6EE6">
        <w:t xml:space="preserve"> og for byggematerialers vedkommende de CO2-ækvivalenter, der kan udledes af SBI 2019:08</w:t>
      </w:r>
      <w:r w:rsidRPr="005C6EE6">
        <w:rPr>
          <w:vertAlign w:val="superscript"/>
        </w:rPr>
        <w:footnoteReference w:id="9"/>
      </w:r>
      <w:r w:rsidRPr="005C6EE6">
        <w:t xml:space="preserve"> og forskellige andre kilder, som fremgår af Bilag IV.</w:t>
      </w:r>
    </w:p>
    <w:p w14:paraId="2C9B4905" w14:textId="77777777" w:rsidR="00E20E27" w:rsidRDefault="00E20E27" w:rsidP="007A7AC0">
      <w:pPr>
        <w:pStyle w:val="Normaloverskrift"/>
      </w:pPr>
    </w:p>
    <w:p w14:paraId="29C45388" w14:textId="785694E7" w:rsidR="007A7AC0" w:rsidRDefault="005C6EE6" w:rsidP="007A7AC0">
      <w:pPr>
        <w:pStyle w:val="Normaloverskrift"/>
      </w:pPr>
      <w:r w:rsidRPr="005C6EE6">
        <w:t>Genbrugspladsaffald</w:t>
      </w:r>
    </w:p>
    <w:p w14:paraId="468393AC" w14:textId="4F2DC918" w:rsidR="005C6EE6" w:rsidRDefault="005C6EE6" w:rsidP="005C6EE6">
      <w:r w:rsidRPr="005C6EE6">
        <w:t xml:space="preserve">I Bilag </w:t>
      </w:r>
      <w:r w:rsidR="00986B8B">
        <w:t>II</w:t>
      </w:r>
      <w:r w:rsidRPr="005C6EE6">
        <w:t xml:space="preserve">c er kortlagt de indsamlede mængder via genbrugspladserne i perioden 2017-2020, sammenholdt med basisåret 2014, og i </w:t>
      </w:r>
      <w:r w:rsidRPr="005C6EE6">
        <w:rPr>
          <w:i/>
          <w:iCs/>
        </w:rPr>
        <w:t>Figur 2.4.a.</w:t>
      </w:r>
      <w:r w:rsidRPr="005C6EE6">
        <w:t xml:space="preserve"> er vist udviklingen i nogle aggregerede mængder, herunder de tre overhovedet mest dominerende, nemlig bygge- og anlægsaffald, haveaffald samt stort- og småt brændbart affald.</w:t>
      </w:r>
    </w:p>
    <w:p w14:paraId="151BE571" w14:textId="77777777" w:rsidR="00CE582F" w:rsidRPr="005C6EE6" w:rsidRDefault="00CE582F" w:rsidP="005C6EE6"/>
    <w:p w14:paraId="40C4F651" w14:textId="77777777" w:rsidR="005C6EE6" w:rsidRPr="005C6EE6" w:rsidRDefault="005C6EE6" w:rsidP="005C6EE6">
      <w:pPr>
        <w:rPr>
          <w:rFonts w:ascii="Verdana" w:hAnsi="Verdana"/>
        </w:rPr>
      </w:pPr>
      <w:r w:rsidRPr="005C6EE6">
        <w:rPr>
          <w:noProof/>
        </w:rPr>
        <w:drawing>
          <wp:inline distT="0" distB="0" distL="0" distR="0" wp14:anchorId="566B14CB" wp14:editId="65099798">
            <wp:extent cx="4572000" cy="3143250"/>
            <wp:effectExtent l="0" t="0" r="0" b="0"/>
            <wp:docPr id="37" name="Diagram 37">
              <a:extLst xmlns:a="http://schemas.openxmlformats.org/drawingml/2006/main">
                <a:ext uri="{FF2B5EF4-FFF2-40B4-BE49-F238E27FC236}">
                  <a16:creationId xmlns:a16="http://schemas.microsoft.com/office/drawing/2014/main" id="{C6F9D701-140E-4D7A-A802-19A455053F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2A4A2E" w14:textId="77777777" w:rsidR="005C6EE6" w:rsidRPr="00BB78A2" w:rsidRDefault="005C6EE6" w:rsidP="005C6EE6">
      <w:pPr>
        <w:rPr>
          <w:i/>
          <w:iCs/>
        </w:rPr>
      </w:pPr>
      <w:r w:rsidRPr="00BB78A2">
        <w:rPr>
          <w:i/>
          <w:iCs/>
        </w:rPr>
        <w:t>Figur 2.4.a. Udviklingen i aggregerede mængder af affald, indsamlet på genbrugspladser i Vordingborg Kommune 2017-2020 og referenceåret 2014.</w:t>
      </w:r>
    </w:p>
    <w:p w14:paraId="746CAEDC" w14:textId="77777777" w:rsidR="005C6EE6" w:rsidRPr="005C6EE6" w:rsidRDefault="005C6EE6" w:rsidP="005C6EE6">
      <w:r w:rsidRPr="005C6EE6">
        <w:t xml:space="preserve">I </w:t>
      </w:r>
      <w:r w:rsidRPr="005C6EE6">
        <w:rPr>
          <w:i/>
          <w:iCs/>
        </w:rPr>
        <w:t>Figur 2.4.b.</w:t>
      </w:r>
      <w:r w:rsidRPr="005C6EE6">
        <w:t xml:space="preserve"> er vist de samme mængder, men opdelt på behandlingsform.</w:t>
      </w:r>
    </w:p>
    <w:p w14:paraId="087D1A32" w14:textId="77777777" w:rsidR="005C6EE6" w:rsidRPr="005C6EE6" w:rsidRDefault="005C6EE6" w:rsidP="005C6EE6">
      <w:pPr>
        <w:rPr>
          <w:rFonts w:ascii="Verdana" w:hAnsi="Verdana"/>
        </w:rPr>
      </w:pPr>
      <w:r w:rsidRPr="005C6EE6">
        <w:rPr>
          <w:noProof/>
        </w:rPr>
        <w:lastRenderedPageBreak/>
        <w:drawing>
          <wp:inline distT="0" distB="0" distL="0" distR="0" wp14:anchorId="3C0998FB" wp14:editId="573EAB33">
            <wp:extent cx="4572000" cy="2990846"/>
            <wp:effectExtent l="0" t="0" r="0" b="635"/>
            <wp:docPr id="38" name="Diagram 38">
              <a:extLst xmlns:a="http://schemas.openxmlformats.org/drawingml/2006/main">
                <a:ext uri="{FF2B5EF4-FFF2-40B4-BE49-F238E27FC236}">
                  <a16:creationId xmlns:a16="http://schemas.microsoft.com/office/drawing/2014/main" id="{1699F5ED-9AD3-4AD1-88E4-35EF21D026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62B5C6" w14:textId="71F42F3F" w:rsidR="005C6EE6" w:rsidRPr="00BB78A2" w:rsidRDefault="005C6EE6" w:rsidP="005C6EE6">
      <w:pPr>
        <w:rPr>
          <w:i/>
          <w:iCs/>
        </w:rPr>
      </w:pPr>
      <w:r w:rsidRPr="00BB78A2">
        <w:rPr>
          <w:i/>
          <w:iCs/>
        </w:rPr>
        <w:t>Figur 2.</w:t>
      </w:r>
      <w:r w:rsidR="00F743B2">
        <w:rPr>
          <w:i/>
          <w:iCs/>
        </w:rPr>
        <w:t>4</w:t>
      </w:r>
      <w:r w:rsidRPr="00BB78A2">
        <w:rPr>
          <w:i/>
          <w:iCs/>
        </w:rPr>
        <w:t xml:space="preserve">.b. Udviklingen i genbrugspladsmængder i Vordingborg </w:t>
      </w:r>
      <w:r w:rsidR="00EE0D73">
        <w:rPr>
          <w:i/>
          <w:iCs/>
        </w:rPr>
        <w:t>K</w:t>
      </w:r>
      <w:r w:rsidRPr="00BB78A2">
        <w:rPr>
          <w:i/>
          <w:iCs/>
        </w:rPr>
        <w:t>ommune, fordelt på behandlingsform i 2017-2020, sammenlignet med basisåret 2014. ’Genanvendelse’ er her forstået som indsamlet med henblik på genanvendelse.</w:t>
      </w:r>
    </w:p>
    <w:p w14:paraId="5FE43CF4" w14:textId="432D85AE" w:rsidR="005C6EE6" w:rsidRPr="005C6EE6" w:rsidRDefault="005C6EE6" w:rsidP="005C6EE6">
      <w:r w:rsidRPr="005C6EE6">
        <w:t xml:space="preserve">Der bemærkes en meget kraftig stigning i 2020, især hvad angår beton &amp; tegl samt stort og småt brændbart. Denne tendens opleves også på landsplan, og antages at være udtryk for, at borgerne har benyttet </w:t>
      </w:r>
      <w:r w:rsidR="00F743B2">
        <w:t>samfundets corona-</w:t>
      </w:r>
      <w:r w:rsidRPr="005C6EE6">
        <w:t>nedlukning til at foretage oprydninger og mindre ombygninger.</w:t>
      </w:r>
    </w:p>
    <w:p w14:paraId="5203362E" w14:textId="54048DC2" w:rsidR="005C6EE6" w:rsidRPr="005C6EE6" w:rsidRDefault="005C6EE6" w:rsidP="005C6EE6">
      <w:r w:rsidRPr="005C6EE6">
        <w:t xml:space="preserve">Det ses endvidere af </w:t>
      </w:r>
      <w:r w:rsidRPr="005C6EE6">
        <w:rPr>
          <w:i/>
          <w:iCs/>
        </w:rPr>
        <w:t>Figur 2.4.b</w:t>
      </w:r>
      <w:r w:rsidRPr="005C6EE6">
        <w:t xml:space="preserve">., at langt størstedelen af genbrugspladsaffaldet føres til genanvendelse. </w:t>
      </w:r>
    </w:p>
    <w:p w14:paraId="60425EDF" w14:textId="6653B6DE" w:rsidR="005C6EE6" w:rsidRPr="005C6EE6" w:rsidRDefault="005C6EE6" w:rsidP="005C6EE6">
      <w:pPr>
        <w:rPr>
          <w:rFonts w:ascii="Calibri" w:hAnsi="Calibri"/>
        </w:rPr>
      </w:pPr>
      <w:r w:rsidRPr="005C6EE6">
        <w:t>En del af de indsamlede mængder indgår også i det ’kommunale affald’, som ligger til grund for beregningerne af genanvendelsesprocenterne efter såvel gam</w:t>
      </w:r>
      <w:r w:rsidR="00F743B2">
        <w:t>mel</w:t>
      </w:r>
      <w:r w:rsidRPr="005C6EE6">
        <w:t xml:space="preserve"> som ny metode. Der er ikke beregnet genanvendelsesprocenter for genbrugspladsmængderne under ét, da der her samtidig er affaldstyper, som </w:t>
      </w:r>
      <w:r w:rsidRPr="005C6EE6">
        <w:rPr>
          <w:i/>
          <w:iCs/>
        </w:rPr>
        <w:t>ikke</w:t>
      </w:r>
      <w:r w:rsidRPr="005C6EE6">
        <w:t xml:space="preserve"> indgår i de formelle beregningsmetoder</w:t>
      </w:r>
      <w:r w:rsidR="00F743B2">
        <w:t>. E</w:t>
      </w:r>
      <w:r w:rsidRPr="005C6EE6">
        <w:t xml:space="preserve">ksempelvis </w:t>
      </w:r>
      <w:r w:rsidR="00F743B2">
        <w:t xml:space="preserve">er </w:t>
      </w:r>
      <w:r w:rsidRPr="005C6EE6">
        <w:t>bygge- og anlægsaffald</w:t>
      </w:r>
      <w:r w:rsidR="00F743B2">
        <w:t xml:space="preserve"> </w:t>
      </w:r>
      <w:r w:rsidRPr="005C6EE6">
        <w:t>opgjort særskilt, da fraktionen har sin egen målsætning, som også kan opnås ved opfyldning – en anden endelig materialenyttiggørelsesform, som ikke indgår i genanvendelsesbegrebet.</w:t>
      </w:r>
    </w:p>
    <w:p w14:paraId="6D3E7AE2" w14:textId="77777777" w:rsidR="005C6EE6" w:rsidRPr="005C6EE6" w:rsidRDefault="005C6EE6" w:rsidP="005C6EE6">
      <w:r w:rsidRPr="005C6EE6">
        <w:t>Der henvises i øvrigt til bilaget.</w:t>
      </w:r>
    </w:p>
    <w:p w14:paraId="10FD2332" w14:textId="77777777" w:rsidR="005C6EE6" w:rsidRPr="005C6EE6" w:rsidRDefault="005C6EE6" w:rsidP="005C6EE6">
      <w:pPr>
        <w:rPr>
          <w:rFonts w:ascii="Calibri" w:hAnsi="Calibri"/>
        </w:rPr>
      </w:pPr>
      <w:r w:rsidRPr="005C6EE6">
        <w:rPr>
          <w:i/>
          <w:iCs/>
        </w:rPr>
        <w:t>Genanvendt metal fra forbrændingsslagge</w:t>
      </w:r>
      <w:bookmarkEnd w:id="32"/>
      <w:r w:rsidRPr="005C6EE6">
        <w:rPr>
          <w:i/>
          <w:iCs/>
        </w:rPr>
        <w:t xml:space="preserve"> fra husholdningsaffald</w:t>
      </w:r>
      <w:r w:rsidRPr="005C6EE6">
        <w:rPr>
          <w:i/>
          <w:iCs/>
        </w:rPr>
        <w:br/>
      </w:r>
      <w:r w:rsidRPr="005C6EE6">
        <w:t>Når forbrændingsslaggen fra AffaldPlus’ affaldsenergianlæg oparbejdes til anvendelse til bygge- og anlægsformål, sker der en samtidig udsortering af metaller fra slaggen.</w:t>
      </w:r>
    </w:p>
    <w:p w14:paraId="6E3C0485" w14:textId="77777777" w:rsidR="006C7D9B" w:rsidRDefault="005C6EE6" w:rsidP="005C6EE6">
      <w:r w:rsidRPr="005C6EE6">
        <w:t>Metaller, der udsorteres til genanvendelse fra forbrændingsslagge fra forbrænding af kommunalt affald, kan medregnes i opfyldelsen af den fremtidige genanvendelsesprocent.</w:t>
      </w:r>
    </w:p>
    <w:p w14:paraId="5A3BE8A3" w14:textId="5053FB23" w:rsidR="005C6EE6" w:rsidRPr="005C6EE6" w:rsidRDefault="005C6EE6" w:rsidP="005C6EE6">
      <w:r w:rsidRPr="005C6EE6">
        <w:t xml:space="preserve">Afatek, der ejes af AffaldPlus i fællesskab med de øvrige sjællandske og </w:t>
      </w:r>
      <w:r w:rsidR="00C1019C">
        <w:t>l</w:t>
      </w:r>
      <w:r w:rsidRPr="005C6EE6">
        <w:t>olland-</w:t>
      </w:r>
      <w:r w:rsidR="00C1019C">
        <w:t>f</w:t>
      </w:r>
      <w:r w:rsidRPr="005C6EE6">
        <w:t xml:space="preserve">alsterske affaldsselskaber, håndterer AffaldPlus’ forbrændingsslagge, og de har for 2019 og 2020 opgjort mængderne af metaller, der er udsorteret fra forbrændingsslaggen. Mængderne fremgår af Bilag </w:t>
      </w:r>
      <w:r w:rsidR="00986B8B">
        <w:t>II</w:t>
      </w:r>
      <w:r w:rsidRPr="005C6EE6">
        <w:t>d.</w:t>
      </w:r>
    </w:p>
    <w:p w14:paraId="4758AD40" w14:textId="77777777" w:rsidR="005C6EE6" w:rsidRPr="005C6EE6" w:rsidRDefault="005C6EE6" w:rsidP="005C6EE6">
      <w:r w:rsidRPr="005C6EE6">
        <w:t>Beregningsmetoden for genanvendelsesbidraget fra metaller i slaggen fremgår af Kommissionens gennemførelsesafgørelse af 7. juni 2019.</w:t>
      </w:r>
    </w:p>
    <w:p w14:paraId="2FFB49A4" w14:textId="77777777" w:rsidR="005C6EE6" w:rsidRPr="005C6EE6" w:rsidRDefault="005C6EE6" w:rsidP="005C6EE6">
      <w:r w:rsidRPr="005C6EE6">
        <w:lastRenderedPageBreak/>
        <w:t>Det skal bemærkes, at man ved beregningen skal sondre mellem den del af metallet i slaggen, der hidrører fra ’kommunalt affald’, og den del, der kommer fra erhvervsaffald, og at kun den del, der hidrører fra ’kommunalt affald’ må medregnes i genanvendelsesprocenten herfor, og at andelene jf. Bilag III pkt. 5 skal dokumenteres ved stikprøveundersøgelser, der gennemføres hvert 5 år.</w:t>
      </w:r>
    </w:p>
    <w:p w14:paraId="5644E6CD" w14:textId="79EB0894" w:rsidR="005C6EE6" w:rsidRPr="005C6EE6" w:rsidRDefault="005C6EE6" w:rsidP="005C6EE6">
      <w:r w:rsidRPr="005C6EE6">
        <w:t xml:space="preserve">Sådanne stikprøveundersøgelser er endnu ikke påbegyndt, men i affaldsplanens Bilag </w:t>
      </w:r>
      <w:r w:rsidR="00986B8B">
        <w:t>II</w:t>
      </w:r>
      <w:r w:rsidRPr="005C6EE6">
        <w:t>d er foretaget et estimat af, hvor meget metal fra den del af forbrændingsslaggen, der må antages at hidrøre fra kommunalt affald, vil bidrage med til den samlede, fremtidige genanvendelsesprocent.</w:t>
      </w:r>
    </w:p>
    <w:p w14:paraId="2C573897" w14:textId="77777777" w:rsidR="005C6EE6" w:rsidRPr="005C6EE6" w:rsidRDefault="005C6EE6" w:rsidP="005C6EE6">
      <w:r w:rsidRPr="005C6EE6">
        <w:t>Det drejer sig for 2020 om ca. 1.320 ton metal for alle seks AffaldPlus-kommuner under ét (svarende til 9 kg/husstand, eller rundt regnet den mængde, som også kan genfindes i restaffald og småt brændbart, der går til forbrænding). De 1.320 ton vil bidrage med i størrelsesordenen 0,6 %-point til genanvendelse. Til sammenligning indsamledes samme år godt 11.000 ton metal via husstands- og genbrugspladsordningerne i de seks kommuner.</w:t>
      </w:r>
    </w:p>
    <w:p w14:paraId="2922C4D6" w14:textId="77777777" w:rsidR="005C6EE6" w:rsidRPr="005C6EE6" w:rsidRDefault="005C6EE6" w:rsidP="005C6EE6"/>
    <w:p w14:paraId="35E60043" w14:textId="038FA0AE" w:rsidR="005C6EE6" w:rsidRPr="005C6EE6" w:rsidRDefault="005C6EE6" w:rsidP="00155C44">
      <w:pPr>
        <w:pStyle w:val="Overskrift3"/>
      </w:pPr>
      <w:bookmarkStart w:id="33" w:name="_Toc68582119"/>
      <w:bookmarkStart w:id="34" w:name="_Toc68611300"/>
      <w:bookmarkStart w:id="35" w:name="_Toc69216617"/>
      <w:bookmarkStart w:id="36" w:name="_Toc70950911"/>
      <w:bookmarkStart w:id="37" w:name="_Toc76126041"/>
      <w:bookmarkStart w:id="38" w:name="_Toc85189833"/>
      <w:r w:rsidRPr="005C6EE6">
        <w:t>Erhvervsaffald</w:t>
      </w:r>
      <w:bookmarkEnd w:id="33"/>
      <w:bookmarkEnd w:id="34"/>
      <w:bookmarkEnd w:id="35"/>
      <w:bookmarkEnd w:id="36"/>
      <w:bookmarkEnd w:id="37"/>
      <w:bookmarkEnd w:id="38"/>
    </w:p>
    <w:p w14:paraId="53A4DEDC" w14:textId="66189CD7" w:rsidR="005C6EE6" w:rsidRDefault="005C6EE6" w:rsidP="005C6EE6">
      <w:pPr>
        <w:rPr>
          <w:i/>
          <w:iCs/>
        </w:rPr>
      </w:pPr>
      <w:r w:rsidRPr="005C6EE6">
        <w:t xml:space="preserve">Vordingborg Kommune har opgjort de mængder af erhvervsaffald, som anvises til og behandles på AffaldPlus’ anlæg detaljeret. Dvs. mængder til deponering og til forbrænding. De fremgår af Bilag </w:t>
      </w:r>
      <w:r w:rsidR="00986B8B">
        <w:t>II</w:t>
      </w:r>
      <w:r w:rsidRPr="005C6EE6">
        <w:t xml:space="preserve">e, og udviklingen i perioden 2017-2020 sammenholdt med basisåret 2014 er vist i </w:t>
      </w:r>
      <w:r w:rsidRPr="005C6EE6">
        <w:rPr>
          <w:i/>
          <w:iCs/>
        </w:rPr>
        <w:t>Figur 2.5.</w:t>
      </w:r>
    </w:p>
    <w:p w14:paraId="638C3552" w14:textId="77777777" w:rsidR="00CE582F" w:rsidRPr="005C6EE6" w:rsidRDefault="00CE582F" w:rsidP="005C6EE6">
      <w:pPr>
        <w:rPr>
          <w:i/>
          <w:iCs/>
        </w:rPr>
      </w:pPr>
    </w:p>
    <w:p w14:paraId="77067390" w14:textId="77777777" w:rsidR="005C6EE6" w:rsidRPr="005C6EE6" w:rsidRDefault="005C6EE6" w:rsidP="005C6EE6">
      <w:pPr>
        <w:rPr>
          <w:rFonts w:ascii="Verdana" w:hAnsi="Verdana"/>
        </w:rPr>
      </w:pPr>
      <w:r w:rsidRPr="005C6EE6">
        <w:rPr>
          <w:noProof/>
        </w:rPr>
        <w:drawing>
          <wp:inline distT="0" distB="0" distL="0" distR="0" wp14:anchorId="1A3AB173" wp14:editId="58B64E29">
            <wp:extent cx="4572000" cy="2743200"/>
            <wp:effectExtent l="0" t="0" r="0" b="0"/>
            <wp:docPr id="39" name="Diagram 39">
              <a:extLst xmlns:a="http://schemas.openxmlformats.org/drawingml/2006/main">
                <a:ext uri="{FF2B5EF4-FFF2-40B4-BE49-F238E27FC236}">
                  <a16:creationId xmlns:a16="http://schemas.microsoft.com/office/drawing/2014/main" id="{68BAF46E-1B1F-4EFE-9A35-30AFB9BF94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8C4CC1" w14:textId="77777777" w:rsidR="005C6EE6" w:rsidRPr="00BB78A2" w:rsidRDefault="005C6EE6" w:rsidP="005C6EE6">
      <w:pPr>
        <w:rPr>
          <w:i/>
          <w:iCs/>
        </w:rPr>
      </w:pPr>
      <w:r w:rsidRPr="00BB78A2">
        <w:rPr>
          <w:i/>
          <w:iCs/>
        </w:rPr>
        <w:t xml:space="preserve">Figur 2.5. Udviklingen af mængderne af forbrændings- og deponeringsegnet affald samt biobrændsel leveret til AffaldPlus’ behandlingsanlæg fra erhverv i Vordingborg Kommune i perioden 2017-2020, sammenlignet med basisåret 2014. </w:t>
      </w:r>
    </w:p>
    <w:p w14:paraId="1A696241" w14:textId="77777777" w:rsidR="005C6EE6" w:rsidRPr="005C6EE6" w:rsidRDefault="005C6EE6" w:rsidP="005C6EE6">
      <w:r w:rsidRPr="005C6EE6">
        <w:t>Det bemærkes, at forbrændingsmængderne fluktuerer en del, mens mængderne til deponering og til biobrændsel har været svagt faldende frem til 2019, hvor deponeringsmængden stiger igen.</w:t>
      </w:r>
    </w:p>
    <w:p w14:paraId="57EB1ECB" w14:textId="77777777" w:rsidR="005C6EE6" w:rsidRPr="005C6EE6" w:rsidRDefault="005C6EE6" w:rsidP="005C6EE6">
      <w:r w:rsidRPr="005C6EE6">
        <w:t xml:space="preserve">Af </w:t>
      </w:r>
      <w:r w:rsidRPr="005C6EE6">
        <w:rPr>
          <w:i/>
          <w:iCs/>
        </w:rPr>
        <w:t>Figur 2.6.</w:t>
      </w:r>
      <w:r w:rsidRPr="005C6EE6">
        <w:t xml:space="preserve"> fremgår det, at stigningen i deponimængder først og fremmest kan tilskrives øgede mængder af asbest til deponi.</w:t>
      </w:r>
    </w:p>
    <w:p w14:paraId="72094103" w14:textId="77777777" w:rsidR="005C6EE6" w:rsidRPr="005C6EE6" w:rsidRDefault="005C6EE6" w:rsidP="005C6EE6">
      <w:pPr>
        <w:rPr>
          <w:rFonts w:ascii="Verdana" w:hAnsi="Verdana"/>
        </w:rPr>
      </w:pPr>
      <w:r w:rsidRPr="005C6EE6">
        <w:rPr>
          <w:noProof/>
        </w:rPr>
        <w:lastRenderedPageBreak/>
        <w:drawing>
          <wp:inline distT="0" distB="0" distL="0" distR="0" wp14:anchorId="64E15C60" wp14:editId="34A1B4C7">
            <wp:extent cx="4572000" cy="2743200"/>
            <wp:effectExtent l="0" t="0" r="0" b="0"/>
            <wp:docPr id="40" name="Diagram 40">
              <a:extLst xmlns:a="http://schemas.openxmlformats.org/drawingml/2006/main">
                <a:ext uri="{FF2B5EF4-FFF2-40B4-BE49-F238E27FC236}">
                  <a16:creationId xmlns:a16="http://schemas.microsoft.com/office/drawing/2014/main" id="{D0B55699-B50D-46F0-BB12-8CABE20F5E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10062D" w14:textId="77777777" w:rsidR="005C6EE6" w:rsidRPr="00BB78A2" w:rsidRDefault="005C6EE6" w:rsidP="005C6EE6">
      <w:pPr>
        <w:rPr>
          <w:i/>
          <w:iCs/>
        </w:rPr>
      </w:pPr>
      <w:r w:rsidRPr="00BB78A2">
        <w:rPr>
          <w:i/>
          <w:iCs/>
        </w:rPr>
        <w:t>Figur 2.6. Udviklingen i deponeret erhvervsaffald 2017-2020, sammenholdt med basisåret 2014 og med angivelse af, hvor stor en andel der udgøres af hhv. asbest og PCB-holdigt byggeaffald. Det fremgår, at det især er asbest, der giver anledning til stigningen fra 2019-2020.</w:t>
      </w:r>
    </w:p>
    <w:p w14:paraId="62A5D68B" w14:textId="77777777" w:rsidR="00BB78A2" w:rsidRDefault="00BB78A2" w:rsidP="005C6EE6">
      <w:bookmarkStart w:id="39" w:name="_Hlk76120224"/>
    </w:p>
    <w:p w14:paraId="49C9D060" w14:textId="1A3E49E7" w:rsidR="005C6EE6" w:rsidRPr="005C6EE6" w:rsidRDefault="005C6EE6" w:rsidP="005C6EE6">
      <w:r w:rsidRPr="005C6EE6">
        <w:t xml:space="preserve">De mængder af ikke-genanvendeligt erhvervsaffald, som er håndteret på andet end AffaldPlus-anlæg, fremgår af Tabel 2.1. </w:t>
      </w:r>
    </w:p>
    <w:p w14:paraId="5E4BDF85" w14:textId="77777777" w:rsidR="005C6EE6" w:rsidRPr="00BB78A2" w:rsidRDefault="005C6EE6" w:rsidP="005C6EE6">
      <w:pPr>
        <w:rPr>
          <w:i/>
          <w:iCs/>
        </w:rPr>
      </w:pPr>
      <w:r w:rsidRPr="00BB78A2">
        <w:rPr>
          <w:i/>
          <w:iCs/>
        </w:rPr>
        <w:t>Tabel 2.1.: Erhvervsaffald, ikke egnet til materialenyttiggørelse, som er behandlet på andet end AffaldPlus-anlæg 2017-2019. Kilde: ADS, Affaldsproduktion i Danmark fordelt på type og kommune (R020).</w:t>
      </w:r>
    </w:p>
    <w:p w14:paraId="1FCAD9B2" w14:textId="77777777" w:rsidR="005C6EE6" w:rsidRPr="005C6EE6" w:rsidRDefault="005C6EE6" w:rsidP="005C6EE6">
      <w:pPr>
        <w:rPr>
          <w:rFonts w:ascii="Verdana" w:hAnsi="Verdana"/>
        </w:rPr>
      </w:pPr>
      <w:r w:rsidRPr="005C6EE6">
        <w:rPr>
          <w:noProof/>
        </w:rPr>
        <w:drawing>
          <wp:inline distT="0" distB="0" distL="0" distR="0" wp14:anchorId="3AA11155" wp14:editId="5022B7F4">
            <wp:extent cx="5951220" cy="922020"/>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1220" cy="922020"/>
                    </a:xfrm>
                    <a:prstGeom prst="rect">
                      <a:avLst/>
                    </a:prstGeom>
                    <a:noFill/>
                    <a:ln>
                      <a:noFill/>
                    </a:ln>
                  </pic:spPr>
                </pic:pic>
              </a:graphicData>
            </a:graphic>
          </wp:inline>
        </w:drawing>
      </w:r>
    </w:p>
    <w:p w14:paraId="440E361D" w14:textId="77777777" w:rsidR="005C6EE6" w:rsidRPr="005C6EE6" w:rsidRDefault="005C6EE6" w:rsidP="005C6EE6">
      <w:r w:rsidRPr="005C6EE6">
        <w:t>Hvad imprægneret træ angår, er det ved krydstjek i 2019 dog konstateret, at en mindre andel af det imprægnerede træ er indvejet på et AffaldPlus-anlæg m.h.p. videresendelse til slutbehandling, men der er ikke benyttelsespligt, eftersom der er tale om farligt affald.</w:t>
      </w:r>
    </w:p>
    <w:p w14:paraId="703ED611" w14:textId="77777777" w:rsidR="005C6EE6" w:rsidRPr="005C6EE6" w:rsidRDefault="005C6EE6" w:rsidP="005C6EE6">
      <w:r w:rsidRPr="005C6EE6">
        <w:t>Mængderne af erhvervsaffald til genanvendelse, som Vordingborg Kommune ikke har ansvar for og derfor ej heller skal sikre kapacitet til, er opgjort alene på basis af de offentligt tilgængelige data i Affaldsdatasystemet, som på opgørelsestidspunktet kun gik til og med 2019, og de er opsamlet i Bilag IIf. De mængder, af erhvervsaffald, der er indsamlet via genbrugspladserne, lader sig ikke udskille fra husholdningsmængderne, og er opgjort under disse.</w:t>
      </w:r>
    </w:p>
    <w:p w14:paraId="35A73AB8" w14:textId="44D4ED4E" w:rsidR="005C6EE6" w:rsidRPr="005C6EE6" w:rsidRDefault="005C6EE6" w:rsidP="005C6EE6">
      <w:r w:rsidRPr="005C6EE6">
        <w:t>I Figur 2.5. er vist udviklingen i udvalgte (største) mængder af sorteret erhvervsaffald, egn</w:t>
      </w:r>
      <w:r w:rsidR="00F743B2">
        <w:t>e</w:t>
      </w:r>
      <w:r w:rsidRPr="005C6EE6">
        <w:t xml:space="preserve">t til materialenyttiggørelse, fra virksomhederne i Vordingborg Kommune i perioden 2017-2019. </w:t>
      </w:r>
    </w:p>
    <w:p w14:paraId="6B847816" w14:textId="77777777" w:rsidR="005C6EE6" w:rsidRPr="005C6EE6" w:rsidRDefault="005C6EE6" w:rsidP="005C6EE6">
      <w:r w:rsidRPr="005C6EE6">
        <w:t>Det ses, at u-forurenet og forurenet jord samt bygge- og anlægsaffald udgør langt hovedparten, og at især jordmængderne fluktuerer meget.</w:t>
      </w:r>
    </w:p>
    <w:p w14:paraId="53FFDCA0" w14:textId="77777777" w:rsidR="005C6EE6" w:rsidRPr="005C6EE6" w:rsidRDefault="005C6EE6" w:rsidP="005C6EE6">
      <w:pPr>
        <w:rPr>
          <w:rFonts w:ascii="Verdana" w:hAnsi="Verdana"/>
        </w:rPr>
      </w:pPr>
      <w:r w:rsidRPr="005C6EE6">
        <w:rPr>
          <w:noProof/>
        </w:rPr>
        <w:lastRenderedPageBreak/>
        <w:drawing>
          <wp:inline distT="0" distB="0" distL="0" distR="0" wp14:anchorId="5EF7EFD1" wp14:editId="68B81F82">
            <wp:extent cx="6080760" cy="3478530"/>
            <wp:effectExtent l="0" t="0" r="15240" b="7620"/>
            <wp:docPr id="4" name="Diagram 4">
              <a:extLst xmlns:a="http://schemas.openxmlformats.org/drawingml/2006/main">
                <a:ext uri="{FF2B5EF4-FFF2-40B4-BE49-F238E27FC236}">
                  <a16:creationId xmlns:a16="http://schemas.microsoft.com/office/drawing/2014/main" id="{7A619354-25A2-47E9-A719-E6BE6A139D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9BFD10D" w14:textId="77777777" w:rsidR="005C6EE6" w:rsidRPr="00BB78A2" w:rsidRDefault="005C6EE6" w:rsidP="005C6EE6">
      <w:pPr>
        <w:rPr>
          <w:i/>
          <w:iCs/>
        </w:rPr>
      </w:pPr>
      <w:r w:rsidRPr="00BB78A2">
        <w:rPr>
          <w:i/>
          <w:iCs/>
        </w:rPr>
        <w:t>Figur 2.5.: Udviklingen i udvalgte mængder af sorteret erhvervsaffald, egnet til materialenyttiggørelse, fra virksomhederne i Vordingborg Kommune i perioden 2017-2019. Kilde: ADS, Affaldsproduktion i Danmark fordelt på type og kommune (R020). For alle mængder: Se Bilag IIf.</w:t>
      </w:r>
    </w:p>
    <w:bookmarkEnd w:id="39"/>
    <w:p w14:paraId="6EC39AEA" w14:textId="77777777" w:rsidR="005C6EE6" w:rsidRPr="005C6EE6" w:rsidRDefault="005C6EE6" w:rsidP="005C6EE6"/>
    <w:p w14:paraId="611AEFE0" w14:textId="37A09DA2" w:rsidR="005C6EE6" w:rsidRPr="005C6EE6" w:rsidRDefault="005C6EE6" w:rsidP="007A7AC0">
      <w:pPr>
        <w:pStyle w:val="Overskrift2"/>
      </w:pPr>
      <w:bookmarkStart w:id="40" w:name="_Toc65581887"/>
      <w:bookmarkStart w:id="41" w:name="_Toc65685134"/>
      <w:bookmarkStart w:id="42" w:name="_Toc66217082"/>
      <w:bookmarkStart w:id="43" w:name="_Toc68083489"/>
      <w:bookmarkStart w:id="44" w:name="_Toc68090422"/>
      <w:bookmarkStart w:id="45" w:name="_Toc68530391"/>
      <w:bookmarkStart w:id="46" w:name="_Toc68582120"/>
      <w:bookmarkStart w:id="47" w:name="_Toc68611301"/>
      <w:bookmarkStart w:id="48" w:name="_Toc69216618"/>
      <w:bookmarkStart w:id="49" w:name="_Toc70950912"/>
      <w:bookmarkStart w:id="50" w:name="_Toc76126042"/>
      <w:bookmarkStart w:id="51" w:name="_Toc85189834"/>
      <w:r w:rsidRPr="005C6EE6">
        <w:t>Opgørelser over mængderne af affald, som eksporteres fra eller importeres til kommunen, fordelt på affaldstyper</w:t>
      </w:r>
      <w:bookmarkEnd w:id="40"/>
      <w:bookmarkEnd w:id="41"/>
      <w:bookmarkEnd w:id="42"/>
      <w:bookmarkEnd w:id="43"/>
      <w:bookmarkEnd w:id="44"/>
      <w:bookmarkEnd w:id="45"/>
      <w:bookmarkEnd w:id="46"/>
      <w:bookmarkEnd w:id="47"/>
      <w:bookmarkEnd w:id="48"/>
      <w:bookmarkEnd w:id="49"/>
      <w:bookmarkEnd w:id="50"/>
      <w:bookmarkEnd w:id="51"/>
    </w:p>
    <w:p w14:paraId="7EC9F3FF" w14:textId="5AA5484C" w:rsidR="003F2860" w:rsidRPr="003F2860" w:rsidRDefault="003F2860" w:rsidP="003F2860">
      <w:pPr>
        <w:suppressAutoHyphens w:val="0"/>
        <w:autoSpaceDE w:val="0"/>
        <w:adjustRightInd w:val="0"/>
        <w:spacing w:after="0"/>
        <w:textAlignment w:val="auto"/>
        <w:rPr>
          <w:rFonts w:eastAsiaTheme="minorHAnsi"/>
        </w:rPr>
      </w:pPr>
      <w:r w:rsidRPr="003F2860">
        <w:rPr>
          <w:rFonts w:eastAsiaTheme="minorHAnsi"/>
        </w:rPr>
        <w:t xml:space="preserve">Opgørelsen over </w:t>
      </w:r>
      <w:r w:rsidR="00F743B2">
        <w:rPr>
          <w:rFonts w:eastAsiaTheme="minorHAnsi"/>
        </w:rPr>
        <w:t>i</w:t>
      </w:r>
      <w:r w:rsidRPr="003F2860">
        <w:rPr>
          <w:rFonts w:eastAsiaTheme="minorHAnsi"/>
        </w:rPr>
        <w:t xml:space="preserve">mport og eksport af affald fra </w:t>
      </w:r>
      <w:r>
        <w:rPr>
          <w:rFonts w:eastAsiaTheme="minorHAnsi"/>
        </w:rPr>
        <w:t>Vordingborg</w:t>
      </w:r>
      <w:r w:rsidRPr="003F2860">
        <w:rPr>
          <w:rFonts w:eastAsiaTheme="minorHAnsi"/>
        </w:rPr>
        <w:t xml:space="preserve"> er baseret på udtræk fra det</w:t>
      </w:r>
    </w:p>
    <w:p w14:paraId="24A28496" w14:textId="77777777" w:rsidR="003F2860" w:rsidRPr="003F2860" w:rsidRDefault="003F2860" w:rsidP="003F2860">
      <w:pPr>
        <w:suppressAutoHyphens w:val="0"/>
        <w:autoSpaceDE w:val="0"/>
        <w:adjustRightInd w:val="0"/>
        <w:spacing w:after="0"/>
        <w:textAlignment w:val="auto"/>
        <w:rPr>
          <w:rFonts w:eastAsiaTheme="minorHAnsi"/>
        </w:rPr>
      </w:pPr>
      <w:r w:rsidRPr="003F2860">
        <w:rPr>
          <w:rFonts w:eastAsiaTheme="minorHAnsi"/>
        </w:rPr>
        <w:t>nationale affaldsdatasystem (ADS).</w:t>
      </w:r>
    </w:p>
    <w:p w14:paraId="470F6C7A" w14:textId="77777777" w:rsidR="003F2860" w:rsidRDefault="003F2860" w:rsidP="003F2860">
      <w:pPr>
        <w:suppressAutoHyphens w:val="0"/>
        <w:autoSpaceDE w:val="0"/>
        <w:adjustRightInd w:val="0"/>
        <w:spacing w:after="0"/>
        <w:textAlignment w:val="auto"/>
        <w:rPr>
          <w:rFonts w:eastAsiaTheme="minorHAnsi"/>
        </w:rPr>
      </w:pPr>
    </w:p>
    <w:p w14:paraId="09C52737" w14:textId="40F30B90" w:rsidR="003F2860" w:rsidRPr="003F2860" w:rsidRDefault="003F2860" w:rsidP="003F2860">
      <w:pPr>
        <w:suppressAutoHyphens w:val="0"/>
        <w:autoSpaceDE w:val="0"/>
        <w:adjustRightInd w:val="0"/>
        <w:spacing w:after="0"/>
        <w:textAlignment w:val="auto"/>
        <w:rPr>
          <w:rFonts w:eastAsiaTheme="minorHAnsi"/>
        </w:rPr>
      </w:pPr>
      <w:r w:rsidRPr="003F2860">
        <w:rPr>
          <w:rFonts w:eastAsiaTheme="minorHAnsi"/>
        </w:rPr>
        <w:t>Kommunen har ikke forsyningspligten for erhvervsaffald til nyttiggørelse, og området</w:t>
      </w:r>
    </w:p>
    <w:p w14:paraId="6B7E2FB6" w14:textId="77777777" w:rsidR="003F2860" w:rsidRPr="003F2860" w:rsidRDefault="003F2860" w:rsidP="003F2860">
      <w:pPr>
        <w:suppressAutoHyphens w:val="0"/>
        <w:autoSpaceDE w:val="0"/>
        <w:adjustRightInd w:val="0"/>
        <w:spacing w:after="0"/>
        <w:textAlignment w:val="auto"/>
        <w:rPr>
          <w:rFonts w:eastAsiaTheme="minorHAnsi"/>
        </w:rPr>
      </w:pPr>
      <w:r w:rsidRPr="003F2860">
        <w:rPr>
          <w:rFonts w:eastAsiaTheme="minorHAnsi"/>
        </w:rPr>
        <w:t>er reguleret af EU's transportforordning, og Miljø- og Fødevareministeriets</w:t>
      </w:r>
    </w:p>
    <w:p w14:paraId="62F944F0" w14:textId="77777777" w:rsidR="003F2860" w:rsidRPr="003F2860" w:rsidRDefault="003F2860" w:rsidP="003F2860">
      <w:pPr>
        <w:suppressAutoHyphens w:val="0"/>
        <w:autoSpaceDE w:val="0"/>
        <w:adjustRightInd w:val="0"/>
        <w:spacing w:after="0"/>
        <w:textAlignment w:val="auto"/>
        <w:rPr>
          <w:rFonts w:eastAsiaTheme="minorHAnsi"/>
        </w:rPr>
      </w:pPr>
      <w:r w:rsidRPr="003F2860">
        <w:rPr>
          <w:rFonts w:eastAsiaTheme="minorHAnsi"/>
        </w:rPr>
        <w:t>bekendtgørelse om overførsel af affald og overførsel af brugt elektrisk og elektronisk</w:t>
      </w:r>
    </w:p>
    <w:p w14:paraId="7553AD86" w14:textId="35C16401" w:rsidR="003F2860" w:rsidRDefault="003F2860" w:rsidP="005C6EE6">
      <w:r w:rsidRPr="003F2860">
        <w:rPr>
          <w:rFonts w:eastAsiaTheme="minorHAnsi"/>
        </w:rPr>
        <w:t>udstyr.</w:t>
      </w:r>
    </w:p>
    <w:p w14:paraId="617161BA" w14:textId="1453FE69" w:rsidR="005C6EE6" w:rsidRPr="005C6EE6" w:rsidRDefault="00902898" w:rsidP="005C6EE6">
      <w:pPr>
        <w:rPr>
          <w:color w:val="FF0000"/>
        </w:rPr>
      </w:pPr>
      <w:r>
        <w:t>Vordingborg K</w:t>
      </w:r>
      <w:r w:rsidR="005C6EE6" w:rsidRPr="005C6EE6">
        <w:t xml:space="preserve">ommune har i 2020 registreret følgende </w:t>
      </w:r>
      <w:r>
        <w:t>affalds</w:t>
      </w:r>
      <w:r w:rsidR="005C6EE6" w:rsidRPr="005C6EE6">
        <w:t>mængder, der er eksporteret fra</w:t>
      </w:r>
      <w:r>
        <w:t xml:space="preserve"> </w:t>
      </w:r>
      <w:r w:rsidR="005C6EE6" w:rsidRPr="005C6EE6">
        <w:t>kommunen</w:t>
      </w:r>
      <w:r>
        <w:t>:</w:t>
      </w:r>
    </w:p>
    <w:p w14:paraId="5B8DDDB1" w14:textId="03C886AB" w:rsidR="00902898" w:rsidRDefault="00902898" w:rsidP="005C6EE6"/>
    <w:tbl>
      <w:tblPr>
        <w:tblStyle w:val="Tabel-Gitter"/>
        <w:tblW w:w="0" w:type="auto"/>
        <w:tblLook w:val="04A0" w:firstRow="1" w:lastRow="0" w:firstColumn="1" w:lastColumn="0" w:noHBand="0" w:noVBand="1"/>
      </w:tblPr>
      <w:tblGrid>
        <w:gridCol w:w="3209"/>
        <w:gridCol w:w="3209"/>
        <w:gridCol w:w="3210"/>
      </w:tblGrid>
      <w:tr w:rsidR="00902898" w14:paraId="4E7951E1" w14:textId="77777777" w:rsidTr="00902898">
        <w:tc>
          <w:tcPr>
            <w:tcW w:w="3209" w:type="dxa"/>
          </w:tcPr>
          <w:p w14:paraId="735C1475" w14:textId="4C88BF24" w:rsidR="00902898" w:rsidRDefault="00902898" w:rsidP="00BB78A2">
            <w:r>
              <w:t>Affaldstype</w:t>
            </w:r>
          </w:p>
        </w:tc>
        <w:tc>
          <w:tcPr>
            <w:tcW w:w="3209" w:type="dxa"/>
          </w:tcPr>
          <w:p w14:paraId="2E89CCC8" w14:textId="05E199FB" w:rsidR="00902898" w:rsidRDefault="00902898" w:rsidP="00BB78A2">
            <w:r>
              <w:t>Vægt i ton</w:t>
            </w:r>
          </w:p>
        </w:tc>
        <w:tc>
          <w:tcPr>
            <w:tcW w:w="3210" w:type="dxa"/>
          </w:tcPr>
          <w:p w14:paraId="7781ED4B" w14:textId="71399A4A" w:rsidR="00902898" w:rsidRDefault="00902898" w:rsidP="00BB78A2">
            <w:r>
              <w:t>Årstal</w:t>
            </w:r>
          </w:p>
        </w:tc>
      </w:tr>
      <w:tr w:rsidR="00902898" w14:paraId="4551768E" w14:textId="77777777" w:rsidTr="00902898">
        <w:tc>
          <w:tcPr>
            <w:tcW w:w="3209" w:type="dxa"/>
          </w:tcPr>
          <w:p w14:paraId="1F46F37E" w14:textId="5E09C16B" w:rsidR="00902898" w:rsidRDefault="00902898" w:rsidP="005C6EE6">
            <w:r>
              <w:t>E 19 Jern og Metal</w:t>
            </w:r>
          </w:p>
        </w:tc>
        <w:tc>
          <w:tcPr>
            <w:tcW w:w="3209" w:type="dxa"/>
          </w:tcPr>
          <w:p w14:paraId="7FF7D893" w14:textId="6C5D3962" w:rsidR="00902898" w:rsidRDefault="00902898" w:rsidP="00902898">
            <w:pPr>
              <w:jc w:val="right"/>
            </w:pPr>
            <w:r>
              <w:t>7070,18</w:t>
            </w:r>
          </w:p>
        </w:tc>
        <w:tc>
          <w:tcPr>
            <w:tcW w:w="3210" w:type="dxa"/>
          </w:tcPr>
          <w:p w14:paraId="623C7B42" w14:textId="18AC817E" w:rsidR="00902898" w:rsidRDefault="00902898" w:rsidP="00902898">
            <w:pPr>
              <w:jc w:val="center"/>
            </w:pPr>
            <w:r>
              <w:t>2020</w:t>
            </w:r>
          </w:p>
        </w:tc>
      </w:tr>
      <w:tr w:rsidR="00902898" w14:paraId="72E39A4B" w14:textId="77777777" w:rsidTr="00902898">
        <w:tc>
          <w:tcPr>
            <w:tcW w:w="3209" w:type="dxa"/>
          </w:tcPr>
          <w:p w14:paraId="613E0EC9" w14:textId="001EDADF" w:rsidR="00902898" w:rsidRDefault="00902898" w:rsidP="005C6EE6">
            <w:r>
              <w:t>E 50 Bilbatterier</w:t>
            </w:r>
          </w:p>
        </w:tc>
        <w:tc>
          <w:tcPr>
            <w:tcW w:w="3209" w:type="dxa"/>
          </w:tcPr>
          <w:p w14:paraId="24CA0FC2" w14:textId="7B4CA253" w:rsidR="00902898" w:rsidRDefault="00902898" w:rsidP="00902898">
            <w:pPr>
              <w:jc w:val="right"/>
            </w:pPr>
            <w:r>
              <w:t>32,42</w:t>
            </w:r>
          </w:p>
        </w:tc>
        <w:tc>
          <w:tcPr>
            <w:tcW w:w="3210" w:type="dxa"/>
          </w:tcPr>
          <w:p w14:paraId="76CB5E0A" w14:textId="4ABF9E20" w:rsidR="00902898" w:rsidRDefault="00902898" w:rsidP="00902898">
            <w:pPr>
              <w:jc w:val="center"/>
            </w:pPr>
            <w:r>
              <w:t>2020</w:t>
            </w:r>
          </w:p>
        </w:tc>
      </w:tr>
    </w:tbl>
    <w:p w14:paraId="51820361" w14:textId="77777777" w:rsidR="00902898" w:rsidRDefault="00902898" w:rsidP="005C6EE6"/>
    <w:p w14:paraId="2394525A" w14:textId="0A96F050" w:rsidR="003B741D" w:rsidRDefault="00902898" w:rsidP="005C6EE6">
      <w:r>
        <w:t>Der er ikke registreret importerede affaldsmængder i 2020.</w:t>
      </w:r>
    </w:p>
    <w:p w14:paraId="5CA6EB1F" w14:textId="77777777" w:rsidR="00902898" w:rsidRPr="005C6EE6" w:rsidRDefault="00902898" w:rsidP="005C6EE6"/>
    <w:p w14:paraId="1F16113C" w14:textId="13639EB5" w:rsidR="005C6EE6" w:rsidRPr="005C6EE6" w:rsidRDefault="005C6EE6" w:rsidP="007A7AC0">
      <w:pPr>
        <w:pStyle w:val="Overskrift2"/>
      </w:pPr>
      <w:bookmarkStart w:id="52" w:name="_Toc65581888"/>
      <w:bookmarkStart w:id="53" w:name="_Toc65685135"/>
      <w:bookmarkStart w:id="54" w:name="_Toc66217083"/>
      <w:bookmarkStart w:id="55" w:name="_Toc68083490"/>
      <w:bookmarkStart w:id="56" w:name="_Toc68090423"/>
      <w:bookmarkStart w:id="57" w:name="_Toc68530392"/>
      <w:bookmarkStart w:id="58" w:name="_Toc68582121"/>
      <w:bookmarkStart w:id="59" w:name="_Toc68611302"/>
      <w:bookmarkStart w:id="60" w:name="_Toc69216619"/>
      <w:bookmarkStart w:id="61" w:name="_Toc70950913"/>
      <w:bookmarkStart w:id="62" w:name="_Toc76126043"/>
      <w:bookmarkStart w:id="63" w:name="_Toc85189835"/>
      <w:r w:rsidRPr="005C6EE6">
        <w:t>Oversigt over og beskrivelser af indsamlings- og anvisningsordninger for affald</w:t>
      </w:r>
      <w:bookmarkEnd w:id="52"/>
      <w:bookmarkEnd w:id="53"/>
      <w:bookmarkEnd w:id="54"/>
      <w:bookmarkEnd w:id="55"/>
      <w:bookmarkEnd w:id="56"/>
      <w:bookmarkEnd w:id="57"/>
      <w:bookmarkEnd w:id="58"/>
      <w:bookmarkEnd w:id="59"/>
      <w:bookmarkEnd w:id="60"/>
      <w:bookmarkEnd w:id="61"/>
      <w:bookmarkEnd w:id="62"/>
      <w:bookmarkEnd w:id="63"/>
    </w:p>
    <w:p w14:paraId="2C9FEACA" w14:textId="77777777" w:rsidR="005C6EE6" w:rsidRPr="005C6EE6" w:rsidRDefault="005C6EE6" w:rsidP="005B4D03">
      <w:pPr>
        <w:pStyle w:val="Listeafsnit"/>
      </w:pPr>
    </w:p>
    <w:p w14:paraId="0DFEFF82" w14:textId="6FCC34F5" w:rsidR="005C6EE6" w:rsidRPr="005C6EE6" w:rsidRDefault="005C6EE6" w:rsidP="00155C44">
      <w:pPr>
        <w:pStyle w:val="Overskrift3"/>
      </w:pPr>
      <w:bookmarkStart w:id="64" w:name="_Toc68530393"/>
      <w:bookmarkStart w:id="65" w:name="_Toc68582122"/>
      <w:bookmarkStart w:id="66" w:name="_Toc68611303"/>
      <w:bookmarkStart w:id="67" w:name="_Toc69216620"/>
      <w:bookmarkStart w:id="68" w:name="_Toc70950914"/>
      <w:bookmarkStart w:id="69" w:name="_Toc76126044"/>
      <w:bookmarkStart w:id="70" w:name="_Toc85189836"/>
      <w:r w:rsidRPr="005C6EE6">
        <w:t>Indsamlingsordninger i form af henteordninger</w:t>
      </w:r>
      <w:bookmarkEnd w:id="64"/>
      <w:bookmarkEnd w:id="65"/>
      <w:bookmarkEnd w:id="66"/>
      <w:bookmarkEnd w:id="67"/>
      <w:bookmarkEnd w:id="68"/>
      <w:bookmarkEnd w:id="69"/>
      <w:bookmarkEnd w:id="70"/>
    </w:p>
    <w:p w14:paraId="0A9CD394" w14:textId="77777777" w:rsidR="005C6EE6" w:rsidRPr="005C6EE6" w:rsidRDefault="005C6EE6" w:rsidP="005C6EE6">
      <w:r w:rsidRPr="005C6EE6">
        <w:t>Vordingborg Kommune har pr. 2021 følgende indsamlingsordninger i form af henteordninger for husholdningsaffald:</w:t>
      </w:r>
    </w:p>
    <w:p w14:paraId="3D6D94D4" w14:textId="11D3647A" w:rsidR="005C6EE6" w:rsidRPr="00155C44" w:rsidRDefault="005C6EE6" w:rsidP="005C6EE6">
      <w:pPr>
        <w:pStyle w:val="Listeafsnit"/>
        <w:numPr>
          <w:ilvl w:val="0"/>
          <w:numId w:val="4"/>
        </w:numPr>
        <w:rPr>
          <w:rFonts w:ascii="Arial" w:hAnsi="Arial" w:cs="Arial"/>
        </w:rPr>
      </w:pPr>
      <w:r w:rsidRPr="00155C44">
        <w:rPr>
          <w:rFonts w:ascii="Arial" w:hAnsi="Arial" w:cs="Arial"/>
        </w:rPr>
        <w:t>Restaffald (typisk 14-dag</w:t>
      </w:r>
      <w:r w:rsidR="00BB78A2">
        <w:rPr>
          <w:rFonts w:ascii="Arial" w:hAnsi="Arial" w:cs="Arial"/>
        </w:rPr>
        <w:t>es</w:t>
      </w:r>
      <w:r w:rsidRPr="00155C44">
        <w:rPr>
          <w:rFonts w:ascii="Arial" w:hAnsi="Arial" w:cs="Arial"/>
        </w:rPr>
        <w:t xml:space="preserve"> afhentning for én-familieboliger og efter individuel aftale for flerfamilieboliger med fælles affaldshåndtering). For en-familieboliger sker indsamling i to-delt 240-litersbeholder, opdelt 60/40, hvor restaffaldet opsamles i det store kammer. I flerfamilieboliger indsamles typisk i 400</w:t>
      </w:r>
      <w:r w:rsidR="00F743B2">
        <w:rPr>
          <w:rFonts w:ascii="Arial" w:hAnsi="Arial" w:cs="Arial"/>
        </w:rPr>
        <w:t>-</w:t>
      </w:r>
      <w:r w:rsidRPr="00155C44">
        <w:rPr>
          <w:rFonts w:ascii="Arial" w:hAnsi="Arial" w:cs="Arial"/>
        </w:rPr>
        <w:t xml:space="preserve"> eller 660-liters firhjulsbeholdere).</w:t>
      </w:r>
    </w:p>
    <w:p w14:paraId="2FF36E78" w14:textId="1EF81DBB" w:rsidR="005C6EE6" w:rsidRPr="00155C44" w:rsidRDefault="005C6EE6" w:rsidP="005C6EE6">
      <w:pPr>
        <w:pStyle w:val="Listeafsnit"/>
        <w:numPr>
          <w:ilvl w:val="0"/>
          <w:numId w:val="4"/>
        </w:numPr>
        <w:rPr>
          <w:rFonts w:ascii="Arial" w:hAnsi="Arial" w:cs="Arial"/>
        </w:rPr>
      </w:pPr>
      <w:r w:rsidRPr="00155C44">
        <w:rPr>
          <w:rFonts w:ascii="Arial" w:hAnsi="Arial" w:cs="Arial"/>
        </w:rPr>
        <w:t>Madaffald (som restaffald, men opsamles i en-familieboliger i det lille kammer i beholderen, og 180</w:t>
      </w:r>
      <w:r w:rsidR="00322ED0">
        <w:rPr>
          <w:rFonts w:ascii="Arial" w:hAnsi="Arial" w:cs="Arial"/>
        </w:rPr>
        <w:t>-liters</w:t>
      </w:r>
      <w:r w:rsidRPr="00155C44">
        <w:rPr>
          <w:rFonts w:ascii="Arial" w:hAnsi="Arial" w:cs="Arial"/>
        </w:rPr>
        <w:t xml:space="preserve"> beholdere eller 400</w:t>
      </w:r>
      <w:r w:rsidR="00322ED0">
        <w:rPr>
          <w:rFonts w:ascii="Arial" w:hAnsi="Arial" w:cs="Arial"/>
        </w:rPr>
        <w:t>-</w:t>
      </w:r>
      <w:r w:rsidRPr="00155C44">
        <w:rPr>
          <w:rFonts w:ascii="Arial" w:hAnsi="Arial" w:cs="Arial"/>
        </w:rPr>
        <w:t>l</w:t>
      </w:r>
      <w:r w:rsidR="00322ED0">
        <w:rPr>
          <w:rFonts w:ascii="Arial" w:hAnsi="Arial" w:cs="Arial"/>
        </w:rPr>
        <w:t>ilers</w:t>
      </w:r>
      <w:r w:rsidRPr="00155C44">
        <w:rPr>
          <w:rFonts w:ascii="Arial" w:hAnsi="Arial" w:cs="Arial"/>
        </w:rPr>
        <w:t xml:space="preserve"> containere til madaffald i flerfamilieboliger).</w:t>
      </w:r>
    </w:p>
    <w:p w14:paraId="28E1C930" w14:textId="77777777" w:rsidR="005C6EE6" w:rsidRPr="00155C44" w:rsidRDefault="005C6EE6" w:rsidP="005C6EE6">
      <w:pPr>
        <w:pStyle w:val="Listeafsnit"/>
        <w:numPr>
          <w:ilvl w:val="0"/>
          <w:numId w:val="4"/>
        </w:numPr>
        <w:rPr>
          <w:rFonts w:ascii="Arial" w:hAnsi="Arial" w:cs="Arial"/>
        </w:rPr>
      </w:pPr>
      <w:r w:rsidRPr="00155C44">
        <w:rPr>
          <w:rFonts w:ascii="Arial" w:hAnsi="Arial" w:cs="Arial"/>
        </w:rPr>
        <w:t>Metal/glas/plast (som restaffald, dog kun med afhentning hver 4. uge i en-familieboliger i det store kammer i en 240-liters to-delt beholder, opdelt 60/40, og efter individuel aftale i flerfamilieboliger med fælles affaldshåndtering).</w:t>
      </w:r>
    </w:p>
    <w:p w14:paraId="78EFF6DF" w14:textId="77777777" w:rsidR="005C6EE6" w:rsidRPr="00155C44" w:rsidRDefault="005C6EE6" w:rsidP="005C6EE6">
      <w:pPr>
        <w:pStyle w:val="Listeafsnit"/>
        <w:numPr>
          <w:ilvl w:val="0"/>
          <w:numId w:val="4"/>
        </w:numPr>
        <w:rPr>
          <w:rFonts w:ascii="Arial" w:hAnsi="Arial" w:cs="Arial"/>
        </w:rPr>
      </w:pPr>
      <w:r w:rsidRPr="00155C44">
        <w:rPr>
          <w:rFonts w:ascii="Arial" w:hAnsi="Arial" w:cs="Arial"/>
        </w:rPr>
        <w:t>Pap/papir (som metal/glas/plast, men i det lille kammer ved en-familieboliger)</w:t>
      </w:r>
    </w:p>
    <w:p w14:paraId="28DED14F" w14:textId="77777777" w:rsidR="005C6EE6" w:rsidRPr="00155C44" w:rsidRDefault="005C6EE6" w:rsidP="005C6EE6">
      <w:pPr>
        <w:pStyle w:val="Listeafsnit"/>
        <w:numPr>
          <w:ilvl w:val="0"/>
          <w:numId w:val="4"/>
        </w:numPr>
        <w:rPr>
          <w:rFonts w:ascii="Arial" w:hAnsi="Arial" w:cs="Arial"/>
        </w:rPr>
      </w:pPr>
      <w:r w:rsidRPr="00155C44">
        <w:rPr>
          <w:rFonts w:ascii="Arial" w:hAnsi="Arial" w:cs="Arial"/>
        </w:rPr>
        <w:t>Småt elektronik (indsamles som pose-på-låg-ordning)</w:t>
      </w:r>
    </w:p>
    <w:p w14:paraId="071086C4" w14:textId="35C9D077" w:rsidR="005C6EE6" w:rsidRPr="00155C44" w:rsidRDefault="005C6EE6" w:rsidP="005C6EE6">
      <w:pPr>
        <w:pStyle w:val="Listeafsnit"/>
        <w:numPr>
          <w:ilvl w:val="0"/>
          <w:numId w:val="4"/>
        </w:numPr>
        <w:rPr>
          <w:rFonts w:ascii="Arial" w:hAnsi="Arial" w:cs="Arial"/>
        </w:rPr>
      </w:pPr>
      <w:r w:rsidRPr="00155C44">
        <w:rPr>
          <w:rFonts w:ascii="Arial" w:hAnsi="Arial" w:cs="Arial"/>
        </w:rPr>
        <w:t xml:space="preserve">Bærbare batterier </w:t>
      </w:r>
      <w:r w:rsidR="00322ED0" w:rsidRPr="00155C44">
        <w:rPr>
          <w:rFonts w:ascii="Arial" w:hAnsi="Arial" w:cs="Arial"/>
        </w:rPr>
        <w:t>(indsamles som pose-på-låg-ordning)</w:t>
      </w:r>
    </w:p>
    <w:p w14:paraId="200EB01F" w14:textId="78535FD5" w:rsidR="005C6EE6" w:rsidRDefault="005C6EE6" w:rsidP="005C6EE6">
      <w:r w:rsidRPr="005C6EE6">
        <w:t>Derudover har Vordingborg Kommune en storskraldsordning, hvor alle boliger efter tilmelding har mulighed for at få afhentet</w:t>
      </w:r>
      <w:r w:rsidR="00BB78A2">
        <w:t xml:space="preserve"> en række forskellige affaldstyper</w:t>
      </w:r>
      <w:r w:rsidRPr="005C6EE6">
        <w:t xml:space="preserve">. </w:t>
      </w:r>
    </w:p>
    <w:p w14:paraId="3B351FEB" w14:textId="77777777" w:rsidR="003B741D" w:rsidRPr="005C6EE6" w:rsidRDefault="003B741D" w:rsidP="005C6EE6"/>
    <w:p w14:paraId="6E876176" w14:textId="5C6CC35D" w:rsidR="005C6EE6" w:rsidRPr="005C6EE6" w:rsidRDefault="005C6EE6" w:rsidP="00155C44">
      <w:pPr>
        <w:pStyle w:val="Overskrift3"/>
      </w:pPr>
      <w:bookmarkStart w:id="71" w:name="_Toc68582124"/>
      <w:bookmarkStart w:id="72" w:name="_Toc68611305"/>
      <w:bookmarkStart w:id="73" w:name="_Toc69216621"/>
      <w:bookmarkStart w:id="74" w:name="_Toc70950915"/>
      <w:bookmarkStart w:id="75" w:name="_Toc76126045"/>
      <w:bookmarkStart w:id="76" w:name="_Toc85189837"/>
      <w:r w:rsidRPr="005C6EE6">
        <w:t>Indsamlingsordninger i form af bringeordninger</w:t>
      </w:r>
      <w:bookmarkEnd w:id="71"/>
      <w:bookmarkEnd w:id="72"/>
      <w:bookmarkEnd w:id="73"/>
      <w:bookmarkEnd w:id="74"/>
      <w:bookmarkEnd w:id="75"/>
      <w:bookmarkEnd w:id="76"/>
    </w:p>
    <w:p w14:paraId="5AB2E1A7" w14:textId="77777777" w:rsidR="005C6EE6" w:rsidRPr="005C6EE6" w:rsidRDefault="005C6EE6" w:rsidP="005C6EE6">
      <w:r w:rsidRPr="005C6EE6">
        <w:t>Vordingborg Kommune har en bringeordning i form af en genbrugspladsordning med mulighed for at aflevere godt 40 forskellige affaldstyper og -fraktioner til særskilt indsamling, herunder farligt affald og bygge- og anlægsaffald opdelt på affaldstyper.</w:t>
      </w:r>
    </w:p>
    <w:p w14:paraId="1B87B231" w14:textId="77777777" w:rsidR="005C6EE6" w:rsidRPr="005C6EE6" w:rsidRDefault="005C6EE6" w:rsidP="005C6EE6">
      <w:r w:rsidRPr="005C6EE6">
        <w:t xml:space="preserve">Genbrugspladsordningen er også stillet til rådighed for erhverv, der opkræves et gebyr ved benyttelse, samt de faktiske behandlingsomkostninger ved aflevering af farligt affald. </w:t>
      </w:r>
    </w:p>
    <w:p w14:paraId="3FCBB234" w14:textId="1A4F22E6" w:rsidR="005C6EE6" w:rsidRPr="005C6EE6" w:rsidRDefault="005C6EE6" w:rsidP="005C6EE6">
      <w:r w:rsidRPr="005C6EE6">
        <w:t>Der er en vægtgrænse på køretøjer, der må benytte genbrugspladserne på 3.500 kg.</w:t>
      </w:r>
    </w:p>
    <w:p w14:paraId="04805BC5" w14:textId="05227B4B" w:rsidR="005C6EE6" w:rsidRPr="005C6EE6" w:rsidRDefault="005C6EE6" w:rsidP="005C6EE6">
      <w:r w:rsidRPr="005C6EE6">
        <w:t>Derudover har kommunen</w:t>
      </w:r>
      <w:r w:rsidR="00322ED0">
        <w:t xml:space="preserve"> </w:t>
      </w:r>
      <w:r w:rsidR="00322ED0" w:rsidRPr="005C6EE6">
        <w:t xml:space="preserve">en såkaldt apotekerordning </w:t>
      </w:r>
      <w:r w:rsidRPr="005C6EE6">
        <w:t xml:space="preserve">i form af en bringeordning for medicinaffald m.v. </w:t>
      </w:r>
      <w:r w:rsidR="00322ED0">
        <w:t>Som supplement til indsamlingsordningerne har kommunen kubepladser med kuber til metal/glas/plast og til papir/pap</w:t>
      </w:r>
      <w:r w:rsidRPr="005C6EE6">
        <w:t>.</w:t>
      </w:r>
    </w:p>
    <w:p w14:paraId="4B4D571A" w14:textId="77777777" w:rsidR="005C6EE6" w:rsidRPr="005C6EE6" w:rsidRDefault="005C6EE6" w:rsidP="005C6EE6"/>
    <w:p w14:paraId="711365AC" w14:textId="7C4A7BE0" w:rsidR="005C6EE6" w:rsidRPr="005C6EE6" w:rsidRDefault="005C6EE6" w:rsidP="00155C44">
      <w:pPr>
        <w:pStyle w:val="Overskrift3"/>
      </w:pPr>
      <w:bookmarkStart w:id="77" w:name="_Toc68530394"/>
      <w:bookmarkStart w:id="78" w:name="_Toc68582125"/>
      <w:bookmarkStart w:id="79" w:name="_Toc68611306"/>
      <w:bookmarkStart w:id="80" w:name="_Toc69216622"/>
      <w:bookmarkStart w:id="81" w:name="_Toc70950916"/>
      <w:bookmarkStart w:id="82" w:name="_Toc76126046"/>
      <w:bookmarkStart w:id="83" w:name="_Toc85189838"/>
      <w:r w:rsidRPr="005C6EE6">
        <w:t>Anvisningsordninger</w:t>
      </w:r>
      <w:bookmarkEnd w:id="77"/>
      <w:bookmarkEnd w:id="78"/>
      <w:bookmarkEnd w:id="79"/>
      <w:bookmarkEnd w:id="80"/>
      <w:bookmarkEnd w:id="81"/>
      <w:bookmarkEnd w:id="82"/>
      <w:bookmarkEnd w:id="83"/>
    </w:p>
    <w:p w14:paraId="10306089" w14:textId="77777777" w:rsidR="005C6EE6" w:rsidRPr="005C6EE6" w:rsidRDefault="005C6EE6" w:rsidP="005C6EE6">
      <w:r w:rsidRPr="005C6EE6">
        <w:t>Vordingborg Kommune har pr. 2021 følgende anvisningsordninger med konkret benyttelsespligt for erhverv m.v. til AffaldPlus’ behandlingsanlæg for følgende affaldsfraktioner:</w:t>
      </w:r>
    </w:p>
    <w:p w14:paraId="2AF434B9" w14:textId="77777777" w:rsidR="005C6EE6" w:rsidRPr="00FB3D9F" w:rsidRDefault="005C6EE6" w:rsidP="005C6EE6">
      <w:pPr>
        <w:pStyle w:val="Listeafsnit"/>
        <w:numPr>
          <w:ilvl w:val="0"/>
          <w:numId w:val="5"/>
        </w:numPr>
        <w:rPr>
          <w:rFonts w:ascii="Arial" w:hAnsi="Arial" w:cs="Arial"/>
        </w:rPr>
      </w:pPr>
      <w:r w:rsidRPr="00FB3D9F">
        <w:rPr>
          <w:rFonts w:ascii="Arial" w:hAnsi="Arial" w:cs="Arial"/>
        </w:rPr>
        <w:t>Forbrændingsegnet affald, herunder husholdningslignende restaffald</w:t>
      </w:r>
    </w:p>
    <w:p w14:paraId="75976596" w14:textId="77777777" w:rsidR="005C6EE6" w:rsidRPr="00FB3D9F" w:rsidRDefault="005C6EE6" w:rsidP="005C6EE6">
      <w:pPr>
        <w:pStyle w:val="Listeafsnit"/>
        <w:numPr>
          <w:ilvl w:val="0"/>
          <w:numId w:val="5"/>
        </w:numPr>
        <w:rPr>
          <w:rFonts w:ascii="Arial" w:hAnsi="Arial" w:cs="Arial"/>
        </w:rPr>
      </w:pPr>
      <w:r w:rsidRPr="00FB3D9F">
        <w:rPr>
          <w:rFonts w:ascii="Arial" w:hAnsi="Arial" w:cs="Arial"/>
        </w:rPr>
        <w:lastRenderedPageBreak/>
        <w:t>Deponeringsegnet affald</w:t>
      </w:r>
    </w:p>
    <w:p w14:paraId="4C21172A" w14:textId="77777777" w:rsidR="005C6EE6" w:rsidRPr="005C6EE6" w:rsidRDefault="005C6EE6" w:rsidP="005C6EE6">
      <w:r w:rsidRPr="005C6EE6">
        <w:t>Derudover har kommunen anvisningsordninger for følgende ikke-genanvendelige affaldstyper og -fraktioner fra erhverv, hvor anvisningen går generelt til modtageranlæg, der er miljøgodkendt til at håndtere den givne affaldstype eller -fraktion:</w:t>
      </w:r>
    </w:p>
    <w:p w14:paraId="2C8280D9" w14:textId="77777777" w:rsidR="005C6EE6" w:rsidRPr="00FB3D9F" w:rsidRDefault="005C6EE6" w:rsidP="005C6EE6">
      <w:pPr>
        <w:pStyle w:val="Listeafsnit"/>
        <w:numPr>
          <w:ilvl w:val="0"/>
          <w:numId w:val="6"/>
        </w:numPr>
        <w:rPr>
          <w:rFonts w:ascii="Arial" w:hAnsi="Arial" w:cs="Arial"/>
        </w:rPr>
      </w:pPr>
      <w:r w:rsidRPr="00FB3D9F">
        <w:rPr>
          <w:rFonts w:ascii="Arial" w:hAnsi="Arial" w:cs="Arial"/>
        </w:rPr>
        <w:t>Ikke-genanvendeligt farligt affald</w:t>
      </w:r>
    </w:p>
    <w:p w14:paraId="2595CF76" w14:textId="77777777" w:rsidR="005C6EE6" w:rsidRPr="00FB3D9F" w:rsidRDefault="005C6EE6" w:rsidP="005C6EE6">
      <w:pPr>
        <w:pStyle w:val="Listeafsnit"/>
        <w:numPr>
          <w:ilvl w:val="0"/>
          <w:numId w:val="6"/>
        </w:numPr>
        <w:rPr>
          <w:rFonts w:ascii="Arial" w:hAnsi="Arial" w:cs="Arial"/>
        </w:rPr>
      </w:pPr>
      <w:r w:rsidRPr="00FB3D9F">
        <w:rPr>
          <w:rFonts w:ascii="Arial" w:hAnsi="Arial" w:cs="Arial"/>
        </w:rPr>
        <w:t>Ikke-genanvendeligt PVC-holdigt affald</w:t>
      </w:r>
    </w:p>
    <w:p w14:paraId="7F44B868" w14:textId="77777777" w:rsidR="005C6EE6" w:rsidRPr="00FB3D9F" w:rsidRDefault="005C6EE6" w:rsidP="005C6EE6">
      <w:pPr>
        <w:pStyle w:val="Listeafsnit"/>
        <w:numPr>
          <w:ilvl w:val="0"/>
          <w:numId w:val="6"/>
        </w:numPr>
        <w:rPr>
          <w:rFonts w:ascii="Arial" w:hAnsi="Arial" w:cs="Arial"/>
        </w:rPr>
      </w:pPr>
      <w:r w:rsidRPr="00FB3D9F">
        <w:rPr>
          <w:rFonts w:ascii="Arial" w:hAnsi="Arial" w:cs="Arial"/>
        </w:rPr>
        <w:t>Klinisk risikoaffald</w:t>
      </w:r>
    </w:p>
    <w:p w14:paraId="0A63661F" w14:textId="77777777" w:rsidR="005C6EE6" w:rsidRPr="00FB3D9F" w:rsidRDefault="005C6EE6" w:rsidP="005C6EE6">
      <w:pPr>
        <w:pStyle w:val="Listeafsnit"/>
        <w:numPr>
          <w:ilvl w:val="0"/>
          <w:numId w:val="6"/>
        </w:numPr>
        <w:rPr>
          <w:rFonts w:ascii="Arial" w:hAnsi="Arial" w:cs="Arial"/>
        </w:rPr>
      </w:pPr>
      <w:r w:rsidRPr="00FB3D9F">
        <w:rPr>
          <w:rFonts w:ascii="Arial" w:hAnsi="Arial" w:cs="Arial"/>
        </w:rPr>
        <w:t>Imprægneret træaffald</w:t>
      </w:r>
    </w:p>
    <w:p w14:paraId="22515BF3" w14:textId="77777777" w:rsidR="005C6EE6" w:rsidRPr="005C6EE6" w:rsidRDefault="005C6EE6" w:rsidP="005C6EE6">
      <w:r w:rsidRPr="005C6EE6">
        <w:t>Endelig har Vordingborg Kommune en anmelde- og anvisningsordning for jord, der er affald (i medfør af bekendtgørelsen herom).</w:t>
      </w:r>
    </w:p>
    <w:p w14:paraId="264144F5" w14:textId="77777777" w:rsidR="005C6EE6" w:rsidRPr="005C6EE6" w:rsidRDefault="005C6EE6" w:rsidP="005C6EE6">
      <w:r w:rsidRPr="005C6EE6">
        <w:t>Ikke-genanvendeligt affald fra erhverv, der ikke er omfattet af nogen af ovennævnte ordninger, anvises konkret.</w:t>
      </w:r>
    </w:p>
    <w:p w14:paraId="30FF3004" w14:textId="77777777" w:rsidR="005C6EE6" w:rsidRPr="005C6EE6" w:rsidRDefault="005C6EE6" w:rsidP="005C6EE6"/>
    <w:p w14:paraId="48E1C818" w14:textId="64BF210B" w:rsidR="005C6EE6" w:rsidRPr="005C6EE6" w:rsidRDefault="005C6EE6" w:rsidP="007A7AC0">
      <w:pPr>
        <w:pStyle w:val="Overskrift2"/>
      </w:pPr>
      <w:bookmarkStart w:id="84" w:name="_Toc65581889"/>
      <w:bookmarkStart w:id="85" w:name="_Toc65685136"/>
      <w:bookmarkStart w:id="86" w:name="_Toc66217084"/>
      <w:bookmarkStart w:id="87" w:name="_Toc68083491"/>
      <w:bookmarkStart w:id="88" w:name="_Toc68090424"/>
      <w:bookmarkStart w:id="89" w:name="_Toc68530395"/>
      <w:bookmarkStart w:id="90" w:name="_Toc68582126"/>
      <w:bookmarkStart w:id="91" w:name="_Toc68611307"/>
      <w:bookmarkStart w:id="92" w:name="_Toc69216623"/>
      <w:bookmarkStart w:id="93" w:name="_Toc70950917"/>
      <w:bookmarkStart w:id="94" w:name="_Toc76126047"/>
      <w:bookmarkStart w:id="95" w:name="_Toc85189839"/>
      <w:r w:rsidRPr="005C6EE6">
        <w:t>Oversigt over og beskrivelser af deponerings- og forbrændingsanlæg, som kommunalbestyrelsen anvender eller anviser til</w:t>
      </w:r>
      <w:bookmarkEnd w:id="84"/>
      <w:bookmarkEnd w:id="85"/>
      <w:bookmarkEnd w:id="86"/>
      <w:bookmarkEnd w:id="87"/>
      <w:bookmarkEnd w:id="88"/>
      <w:bookmarkEnd w:id="89"/>
      <w:bookmarkEnd w:id="90"/>
      <w:bookmarkEnd w:id="91"/>
      <w:bookmarkEnd w:id="92"/>
      <w:bookmarkEnd w:id="93"/>
      <w:bookmarkEnd w:id="94"/>
      <w:bookmarkEnd w:id="95"/>
    </w:p>
    <w:p w14:paraId="18C614DE" w14:textId="77777777" w:rsidR="005C6EE6" w:rsidRPr="005C6EE6" w:rsidRDefault="005C6EE6" w:rsidP="005C6EE6">
      <w:r w:rsidRPr="005C6EE6">
        <w:t>Kommunen anvender og anviser til følgende deponerings- og forbrændingsanlæg (idet der henvises til afsnit 4.5. f.s.v.a. kapacitet):</w:t>
      </w:r>
    </w:p>
    <w:p w14:paraId="021B3B74" w14:textId="77777777" w:rsidR="005C6EE6" w:rsidRPr="005C6EE6" w:rsidRDefault="005C6EE6" w:rsidP="005C6EE6">
      <w:r w:rsidRPr="005C6EE6">
        <w:t>Deponeringsanlæg:</w:t>
      </w:r>
    </w:p>
    <w:p w14:paraId="69C48A75" w14:textId="77777777" w:rsidR="005C6EE6" w:rsidRPr="007A7AC0" w:rsidRDefault="005C6EE6" w:rsidP="005C6EE6">
      <w:pPr>
        <w:pStyle w:val="Listeafsnit"/>
        <w:numPr>
          <w:ilvl w:val="0"/>
          <w:numId w:val="7"/>
        </w:numPr>
        <w:rPr>
          <w:rFonts w:ascii="Arial" w:hAnsi="Arial" w:cs="Arial"/>
        </w:rPr>
      </w:pPr>
      <w:r w:rsidRPr="007A7AC0">
        <w:rPr>
          <w:rFonts w:ascii="Arial" w:hAnsi="Arial" w:cs="Arial"/>
        </w:rPr>
        <w:t>Faxe Miljøanlæg</w:t>
      </w:r>
    </w:p>
    <w:p w14:paraId="3400A8FC" w14:textId="77777777" w:rsidR="005C6EE6" w:rsidRPr="007A7AC0" w:rsidRDefault="005C6EE6" w:rsidP="005C6EE6">
      <w:pPr>
        <w:pStyle w:val="Listeafsnit"/>
        <w:numPr>
          <w:ilvl w:val="0"/>
          <w:numId w:val="7"/>
        </w:numPr>
        <w:rPr>
          <w:rFonts w:ascii="Arial" w:hAnsi="Arial" w:cs="Arial"/>
        </w:rPr>
      </w:pPr>
      <w:r w:rsidRPr="007A7AC0">
        <w:rPr>
          <w:rFonts w:ascii="Arial" w:hAnsi="Arial" w:cs="Arial"/>
        </w:rPr>
        <w:t>Forlev Miljøanlæg</w:t>
      </w:r>
    </w:p>
    <w:p w14:paraId="185FAD68" w14:textId="77777777" w:rsidR="005C6EE6" w:rsidRPr="005C6EE6" w:rsidRDefault="005C6EE6" w:rsidP="005C6EE6">
      <w:r w:rsidRPr="005C6EE6">
        <w:t>Forbrændingsanlæg:</w:t>
      </w:r>
    </w:p>
    <w:p w14:paraId="298C2ACD" w14:textId="77777777" w:rsidR="005C6EE6" w:rsidRPr="007A7AC0" w:rsidRDefault="005C6EE6" w:rsidP="005C6EE6">
      <w:pPr>
        <w:pStyle w:val="Listeafsnit"/>
        <w:numPr>
          <w:ilvl w:val="0"/>
          <w:numId w:val="8"/>
        </w:numPr>
        <w:rPr>
          <w:rFonts w:ascii="Arial" w:hAnsi="Arial" w:cs="Arial"/>
        </w:rPr>
      </w:pPr>
      <w:r w:rsidRPr="007A7AC0">
        <w:rPr>
          <w:rFonts w:ascii="Arial" w:hAnsi="Arial" w:cs="Arial"/>
        </w:rPr>
        <w:t>Næstved Affaldsenergianlæg</w:t>
      </w:r>
    </w:p>
    <w:p w14:paraId="0152C0E9" w14:textId="77777777" w:rsidR="005C6EE6" w:rsidRPr="007A7AC0" w:rsidRDefault="005C6EE6" w:rsidP="005C6EE6">
      <w:pPr>
        <w:pStyle w:val="Listeafsnit"/>
        <w:numPr>
          <w:ilvl w:val="0"/>
          <w:numId w:val="8"/>
        </w:numPr>
        <w:rPr>
          <w:rFonts w:ascii="Arial" w:hAnsi="Arial" w:cs="Arial"/>
        </w:rPr>
      </w:pPr>
      <w:r w:rsidRPr="007A7AC0">
        <w:rPr>
          <w:rFonts w:ascii="Arial" w:hAnsi="Arial" w:cs="Arial"/>
        </w:rPr>
        <w:t>Slagelse Affaldsenergianlæg</w:t>
      </w:r>
    </w:p>
    <w:p w14:paraId="5EBF543A" w14:textId="77777777" w:rsidR="005C6EE6" w:rsidRPr="005C6EE6" w:rsidRDefault="005C6EE6" w:rsidP="005C6EE6"/>
    <w:p w14:paraId="6D0F2E01" w14:textId="6EB30476" w:rsidR="005C6EE6" w:rsidRPr="005C6EE6" w:rsidRDefault="005C6EE6" w:rsidP="007A7AC0">
      <w:pPr>
        <w:pStyle w:val="Overskrift2"/>
      </w:pPr>
      <w:bookmarkStart w:id="96" w:name="_Toc65581890"/>
      <w:bookmarkStart w:id="97" w:name="_Toc65685137"/>
      <w:bookmarkStart w:id="98" w:name="_Toc66217085"/>
      <w:bookmarkStart w:id="99" w:name="_Toc68083492"/>
      <w:bookmarkStart w:id="100" w:name="_Toc68090425"/>
      <w:bookmarkStart w:id="101" w:name="_Toc68530396"/>
      <w:bookmarkStart w:id="102" w:name="_Toc68582127"/>
      <w:bookmarkStart w:id="103" w:name="_Toc68611308"/>
      <w:bookmarkStart w:id="104" w:name="_Toc69216624"/>
      <w:bookmarkStart w:id="105" w:name="_Toc70950918"/>
      <w:bookmarkStart w:id="106" w:name="_Toc76126048"/>
      <w:bookmarkStart w:id="107" w:name="_Toc85189840"/>
      <w:r w:rsidRPr="005C6EE6">
        <w:t>Oplysninger om sorterings- og behandlingsanlæg m.v., som kommunalbestyrelsen anvender eller anviser til</w:t>
      </w:r>
      <w:bookmarkEnd w:id="96"/>
      <w:bookmarkEnd w:id="97"/>
      <w:bookmarkEnd w:id="98"/>
      <w:bookmarkEnd w:id="99"/>
      <w:bookmarkEnd w:id="100"/>
      <w:bookmarkEnd w:id="101"/>
      <w:bookmarkEnd w:id="102"/>
      <w:bookmarkEnd w:id="103"/>
      <w:bookmarkEnd w:id="104"/>
      <w:bookmarkEnd w:id="105"/>
      <w:bookmarkEnd w:id="106"/>
      <w:bookmarkEnd w:id="107"/>
    </w:p>
    <w:p w14:paraId="7A64C81B" w14:textId="0F86606D" w:rsidR="005C6EE6" w:rsidRPr="005C6EE6" w:rsidRDefault="005C6EE6" w:rsidP="005C6EE6">
      <w:r w:rsidRPr="005C6EE6">
        <w:t>Forbehandling af madaffald:</w:t>
      </w:r>
    </w:p>
    <w:p w14:paraId="075DBBCF" w14:textId="77777777" w:rsidR="005C6EE6" w:rsidRPr="007A7AC0" w:rsidRDefault="005C6EE6" w:rsidP="005C6EE6">
      <w:pPr>
        <w:pStyle w:val="Listeafsnit"/>
        <w:numPr>
          <w:ilvl w:val="0"/>
          <w:numId w:val="9"/>
        </w:numPr>
        <w:rPr>
          <w:rFonts w:ascii="Arial" w:hAnsi="Arial" w:cs="Arial"/>
        </w:rPr>
      </w:pPr>
      <w:r w:rsidRPr="007A7AC0">
        <w:rPr>
          <w:rFonts w:ascii="Arial" w:hAnsi="Arial" w:cs="Arial"/>
        </w:rPr>
        <w:t>AffaldPlus’ pulperanlæg i Næstved</w:t>
      </w:r>
    </w:p>
    <w:p w14:paraId="31FA9B63" w14:textId="77777777" w:rsidR="005C6EE6" w:rsidRPr="005C6EE6" w:rsidRDefault="005C6EE6" w:rsidP="005C6EE6">
      <w:r w:rsidRPr="005C6EE6">
        <w:t>Sortering af haveaffald (til biomasse og råkompost):</w:t>
      </w:r>
    </w:p>
    <w:p w14:paraId="7627FEBA" w14:textId="77777777" w:rsidR="005C6EE6" w:rsidRPr="007A7AC0" w:rsidRDefault="005C6EE6" w:rsidP="005C6EE6">
      <w:pPr>
        <w:pStyle w:val="Listeafsnit"/>
        <w:numPr>
          <w:ilvl w:val="0"/>
          <w:numId w:val="9"/>
        </w:numPr>
        <w:rPr>
          <w:rFonts w:ascii="Arial" w:hAnsi="Arial" w:cs="Arial"/>
        </w:rPr>
      </w:pPr>
      <w:r w:rsidRPr="007A7AC0">
        <w:rPr>
          <w:rFonts w:ascii="Arial" w:hAnsi="Arial" w:cs="Arial"/>
        </w:rPr>
        <w:t>AffaldPlus’ biobrændselsanlæg i Næstved</w:t>
      </w:r>
    </w:p>
    <w:p w14:paraId="776416A2" w14:textId="77777777" w:rsidR="005C6EE6" w:rsidRPr="005C6EE6" w:rsidRDefault="005C6EE6" w:rsidP="005C6EE6">
      <w:r w:rsidRPr="005C6EE6">
        <w:t>Sortering af tekstilaffald:</w:t>
      </w:r>
    </w:p>
    <w:p w14:paraId="55C548CD" w14:textId="77777777" w:rsidR="005C6EE6" w:rsidRPr="007A7AC0" w:rsidRDefault="005C6EE6" w:rsidP="005C6EE6">
      <w:pPr>
        <w:pStyle w:val="Listeafsnit"/>
        <w:numPr>
          <w:ilvl w:val="0"/>
          <w:numId w:val="9"/>
        </w:numPr>
        <w:rPr>
          <w:rFonts w:ascii="Arial" w:hAnsi="Arial" w:cs="Arial"/>
        </w:rPr>
      </w:pPr>
      <w:r w:rsidRPr="007A7AC0">
        <w:rPr>
          <w:rFonts w:ascii="Arial" w:hAnsi="Arial" w:cs="Arial"/>
        </w:rPr>
        <w:t>AffaldPlus’ tekstilsorteringsanlæg i Næstved</w:t>
      </w:r>
    </w:p>
    <w:p w14:paraId="0C86B55F" w14:textId="77777777" w:rsidR="005C6EE6" w:rsidRPr="005C6EE6" w:rsidRDefault="005C6EE6" w:rsidP="005C6EE6">
      <w:r w:rsidRPr="005C6EE6">
        <w:t>Forsortering af metal-, glas- og plast-fraktionen</w:t>
      </w:r>
    </w:p>
    <w:p w14:paraId="26E8A946" w14:textId="77777777" w:rsidR="005C6EE6" w:rsidRPr="007A7AC0" w:rsidRDefault="005C6EE6" w:rsidP="005C6EE6">
      <w:pPr>
        <w:pStyle w:val="Listeafsnit"/>
        <w:numPr>
          <w:ilvl w:val="0"/>
          <w:numId w:val="10"/>
        </w:numPr>
        <w:rPr>
          <w:rFonts w:ascii="Arial" w:hAnsi="Arial" w:cs="Arial"/>
        </w:rPr>
      </w:pPr>
      <w:r w:rsidRPr="007A7AC0">
        <w:rPr>
          <w:rFonts w:ascii="Arial" w:hAnsi="Arial" w:cs="Arial"/>
        </w:rPr>
        <w:lastRenderedPageBreak/>
        <w:t>RGS-Nordic, Herlufmagle (med AffaldPlus som kontraktholder)</w:t>
      </w:r>
    </w:p>
    <w:p w14:paraId="46B298E7" w14:textId="77777777" w:rsidR="005C6EE6" w:rsidRPr="005C6EE6" w:rsidRDefault="005C6EE6" w:rsidP="005C6EE6">
      <w:r w:rsidRPr="005C6EE6">
        <w:t>Sortering af plast og aluminium fra MGP-forsorteringen:</w:t>
      </w:r>
    </w:p>
    <w:p w14:paraId="4CA0B1C8" w14:textId="77777777" w:rsidR="005C6EE6" w:rsidRPr="007A7AC0" w:rsidRDefault="005C6EE6" w:rsidP="005C6EE6">
      <w:pPr>
        <w:pStyle w:val="Listeafsnit"/>
        <w:numPr>
          <w:ilvl w:val="0"/>
          <w:numId w:val="10"/>
        </w:numPr>
        <w:rPr>
          <w:rFonts w:ascii="Arial" w:hAnsi="Arial" w:cs="Arial"/>
        </w:rPr>
      </w:pPr>
      <w:r w:rsidRPr="007A7AC0">
        <w:rPr>
          <w:rFonts w:ascii="Arial" w:hAnsi="Arial" w:cs="Arial"/>
        </w:rPr>
        <w:t>EGN (Tyskland) (med AffaldPlus som kontraktholder)</w:t>
      </w:r>
    </w:p>
    <w:p w14:paraId="4BD113A8" w14:textId="77777777" w:rsidR="005C6EE6" w:rsidRPr="005C6EE6" w:rsidRDefault="005C6EE6" w:rsidP="005C6EE6">
      <w:r w:rsidRPr="005C6EE6">
        <w:t>Pap og papir:</w:t>
      </w:r>
    </w:p>
    <w:p w14:paraId="2EEBF13E" w14:textId="77777777" w:rsidR="005C6EE6" w:rsidRPr="007A7AC0" w:rsidRDefault="005C6EE6" w:rsidP="005C6EE6">
      <w:pPr>
        <w:pStyle w:val="Listeafsnit"/>
        <w:numPr>
          <w:ilvl w:val="0"/>
          <w:numId w:val="10"/>
        </w:numPr>
        <w:rPr>
          <w:rFonts w:ascii="Arial" w:hAnsi="Arial" w:cs="Arial"/>
        </w:rPr>
      </w:pPr>
      <w:r w:rsidRPr="007A7AC0">
        <w:rPr>
          <w:rFonts w:ascii="Arial" w:hAnsi="Arial" w:cs="Arial"/>
        </w:rPr>
        <w:t>Leveres til AffaldPlus’ genbrugsterminal i Næstved, som afsætter på korttidskontrakter</w:t>
      </w:r>
    </w:p>
    <w:p w14:paraId="2C92AFDE" w14:textId="77777777" w:rsidR="005C6EE6" w:rsidRPr="005C6EE6" w:rsidRDefault="005C6EE6" w:rsidP="005C6EE6">
      <w:r w:rsidRPr="005C6EE6">
        <w:t>Rent træ til neddeling:</w:t>
      </w:r>
    </w:p>
    <w:p w14:paraId="1271910C" w14:textId="77777777" w:rsidR="005C6EE6" w:rsidRPr="007A7AC0" w:rsidRDefault="005C6EE6" w:rsidP="005C6EE6">
      <w:pPr>
        <w:pStyle w:val="Listeafsnit"/>
        <w:numPr>
          <w:ilvl w:val="0"/>
          <w:numId w:val="10"/>
        </w:numPr>
        <w:rPr>
          <w:rFonts w:ascii="Arial" w:hAnsi="Arial" w:cs="Arial"/>
        </w:rPr>
      </w:pPr>
      <w:r w:rsidRPr="007A7AC0">
        <w:rPr>
          <w:rFonts w:ascii="Arial" w:hAnsi="Arial" w:cs="Arial"/>
        </w:rPr>
        <w:t>Nedknuses på Faxe Miljøanlæg m.h.p. klargøring til transport til slutbehandling.</w:t>
      </w:r>
    </w:p>
    <w:p w14:paraId="29D63215" w14:textId="77777777" w:rsidR="005C6EE6" w:rsidRPr="005C6EE6" w:rsidRDefault="005C6EE6" w:rsidP="005C6EE6">
      <w:r w:rsidRPr="005C6EE6">
        <w:t>Produkter og komponenter der egner sig til forberedelse for genbrug:</w:t>
      </w:r>
    </w:p>
    <w:p w14:paraId="194C165D" w14:textId="77777777" w:rsidR="005C6EE6" w:rsidRPr="007A7AC0" w:rsidRDefault="005C6EE6" w:rsidP="005C6EE6">
      <w:pPr>
        <w:pStyle w:val="Listeafsnit"/>
        <w:numPr>
          <w:ilvl w:val="0"/>
          <w:numId w:val="10"/>
        </w:numPr>
        <w:rPr>
          <w:rFonts w:ascii="Arial" w:hAnsi="Arial" w:cs="Arial"/>
        </w:rPr>
      </w:pPr>
      <w:r w:rsidRPr="007A7AC0">
        <w:rPr>
          <w:rFonts w:ascii="Arial" w:hAnsi="Arial" w:cs="Arial"/>
        </w:rPr>
        <w:t>Håndteres af AffaldPlus m.h.p. afsætning i Plusbutikker, Plus-byggemarked og Plus-markeder.</w:t>
      </w:r>
    </w:p>
    <w:p w14:paraId="1702B33F" w14:textId="31F3D4E3" w:rsidR="005C6EE6" w:rsidRDefault="005C6EE6" w:rsidP="005C6EE6">
      <w:r w:rsidRPr="005C6EE6">
        <w:t>De øvrige fraktioner fra genbrugspladserne, der egner sig til materialegenanvendelse eller anden endelig materialenyttiggørelse, herunder bygge- og anlægsaffald, afsættes af AffaldPlus på kontrakter af kortere eller længere varighed.</w:t>
      </w:r>
    </w:p>
    <w:p w14:paraId="723AE1B4" w14:textId="77777777" w:rsidR="003B741D" w:rsidRPr="005C6EE6" w:rsidRDefault="003B741D" w:rsidP="005C6EE6"/>
    <w:p w14:paraId="5DA339F9" w14:textId="1AE217AD" w:rsidR="005C6EE6" w:rsidRPr="007A7AC0" w:rsidRDefault="005C6EE6" w:rsidP="007A7AC0">
      <w:pPr>
        <w:pStyle w:val="Overskrift2"/>
      </w:pPr>
      <w:bookmarkStart w:id="108" w:name="_Toc65581891"/>
      <w:bookmarkStart w:id="109" w:name="_Toc65685138"/>
      <w:bookmarkStart w:id="110" w:name="_Toc66217086"/>
      <w:bookmarkStart w:id="111" w:name="_Toc68083493"/>
      <w:bookmarkStart w:id="112" w:name="_Toc68090426"/>
      <w:bookmarkStart w:id="113" w:name="_Toc68530397"/>
      <w:bookmarkStart w:id="114" w:name="_Toc68582128"/>
      <w:bookmarkStart w:id="115" w:name="_Toc68611309"/>
      <w:bookmarkStart w:id="116" w:name="_Toc69216625"/>
      <w:bookmarkStart w:id="117" w:name="_Toc70950919"/>
      <w:bookmarkStart w:id="118" w:name="_Toc76126049"/>
      <w:bookmarkStart w:id="119" w:name="_Toc85189841"/>
      <w:r w:rsidRPr="007A7AC0">
        <w:t>Oplysninger om kommunalbestyrelsens omkostninger ved håndtering af affald fordelt på ordninger for husholdninger og virksomheder</w:t>
      </w:r>
      <w:bookmarkEnd w:id="108"/>
      <w:bookmarkEnd w:id="109"/>
      <w:bookmarkEnd w:id="110"/>
      <w:bookmarkEnd w:id="111"/>
      <w:bookmarkEnd w:id="112"/>
      <w:bookmarkEnd w:id="113"/>
      <w:bookmarkEnd w:id="114"/>
      <w:bookmarkEnd w:id="115"/>
      <w:bookmarkEnd w:id="116"/>
      <w:bookmarkEnd w:id="117"/>
      <w:bookmarkEnd w:id="118"/>
      <w:bookmarkEnd w:id="119"/>
    </w:p>
    <w:p w14:paraId="59F3E73D" w14:textId="77777777" w:rsidR="005C6EE6" w:rsidRPr="005C6EE6" w:rsidRDefault="005C6EE6" w:rsidP="005C6EE6"/>
    <w:p w14:paraId="7CFAEA92" w14:textId="01C00E80" w:rsidR="005C6EE6" w:rsidRDefault="005C6EE6" w:rsidP="005C6EE6">
      <w:r w:rsidRPr="005C6EE6">
        <w:t>På baggrund af regnskab 2020 kan de i tabel 2.2. anførte omkostninger opgøres, fordelt på ordninger for husholdninger og virksomheder.</w:t>
      </w:r>
    </w:p>
    <w:p w14:paraId="3FF8EA30" w14:textId="77777777" w:rsidR="00EE0D73" w:rsidRPr="005C6EE6" w:rsidRDefault="00EE0D73" w:rsidP="005C6EE6"/>
    <w:p w14:paraId="4105D3F5" w14:textId="7054D6C4" w:rsidR="005C6EE6" w:rsidRPr="00EE0D73" w:rsidRDefault="00EE0D73" w:rsidP="005C6EE6">
      <w:pPr>
        <w:rPr>
          <w:i/>
          <w:iCs/>
        </w:rPr>
      </w:pPr>
      <w:r w:rsidRPr="00913B08">
        <w:rPr>
          <w:i/>
          <w:iCs/>
        </w:rPr>
        <w:t>Tabel 2.2.: Nøgletal for omkostningerne ved drift af Vordingborg Kommunes affaldsordninger i 2020. Alle beløb er eksklusive moms.</w:t>
      </w:r>
    </w:p>
    <w:tbl>
      <w:tblPr>
        <w:tblW w:w="0" w:type="auto"/>
        <w:jc w:val="center"/>
        <w:tblCellMar>
          <w:left w:w="0" w:type="dxa"/>
          <w:right w:w="0" w:type="dxa"/>
        </w:tblCellMar>
        <w:tblLook w:val="04A0" w:firstRow="1" w:lastRow="0" w:firstColumn="1" w:lastColumn="0" w:noHBand="0" w:noVBand="1"/>
      </w:tblPr>
      <w:tblGrid>
        <w:gridCol w:w="7464"/>
        <w:gridCol w:w="2099"/>
      </w:tblGrid>
      <w:tr w:rsidR="005C6EE6" w:rsidRPr="005C6EE6" w14:paraId="36639C57" w14:textId="77777777" w:rsidTr="00913B08">
        <w:trPr>
          <w:jc w:val="center"/>
        </w:trPr>
        <w:tc>
          <w:tcPr>
            <w:tcW w:w="7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A12DA8" w14:textId="77777777" w:rsidR="005C6EE6" w:rsidRPr="005C6EE6" w:rsidRDefault="005C6EE6" w:rsidP="005C6EE6">
            <w:r w:rsidRPr="005C6EE6">
              <w:t>Generelle administrationsomkostninger</w:t>
            </w:r>
          </w:p>
        </w:tc>
        <w:tc>
          <w:tcPr>
            <w:tcW w:w="20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613CBB" w14:textId="77777777" w:rsidR="005C6EE6" w:rsidRPr="005C6EE6" w:rsidRDefault="005C6EE6" w:rsidP="00FB3D9F">
            <w:pPr>
              <w:jc w:val="right"/>
            </w:pPr>
            <w:r w:rsidRPr="005C6EE6">
              <w:t>3.061.000 kr.</w:t>
            </w:r>
          </w:p>
        </w:tc>
      </w:tr>
      <w:tr w:rsidR="005C6EE6" w:rsidRPr="005C6EE6" w14:paraId="791BBCB2" w14:textId="77777777" w:rsidTr="00913B08">
        <w:trPr>
          <w:jc w:val="center"/>
        </w:trPr>
        <w:tc>
          <w:tcPr>
            <w:tcW w:w="7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1773F" w14:textId="77777777" w:rsidR="005C6EE6" w:rsidRPr="005C6EE6" w:rsidRDefault="005C6EE6" w:rsidP="005C6EE6">
            <w:r w:rsidRPr="005C6EE6">
              <w:t>Indsamlingsordninger for restaffald og madaffald, husholdninger</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14:paraId="69F863DB" w14:textId="77777777" w:rsidR="005C6EE6" w:rsidRPr="005C6EE6" w:rsidRDefault="005C6EE6" w:rsidP="00FB3D9F">
            <w:pPr>
              <w:jc w:val="right"/>
            </w:pPr>
            <w:r w:rsidRPr="005C6EE6">
              <w:t>26.238.000 kr.</w:t>
            </w:r>
          </w:p>
        </w:tc>
      </w:tr>
      <w:tr w:rsidR="005C6EE6" w:rsidRPr="005C6EE6" w14:paraId="724DEEA2" w14:textId="77777777" w:rsidTr="00913B08">
        <w:trPr>
          <w:jc w:val="center"/>
        </w:trPr>
        <w:tc>
          <w:tcPr>
            <w:tcW w:w="7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2E755" w14:textId="6605DE5B" w:rsidR="005C6EE6" w:rsidRPr="005C6EE6" w:rsidRDefault="005C6EE6" w:rsidP="005C6EE6">
            <w:r w:rsidRPr="005C6EE6">
              <w:t xml:space="preserve">Indsamlingsordninger for </w:t>
            </w:r>
            <w:r w:rsidR="00913B08">
              <w:t>dagrenovation</w:t>
            </w:r>
            <w:r w:rsidRPr="005C6EE6">
              <w:t>, virksomheder</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14:paraId="2E118CA9" w14:textId="77777777" w:rsidR="005C6EE6" w:rsidRPr="005C6EE6" w:rsidRDefault="005C6EE6" w:rsidP="00FB3D9F">
            <w:pPr>
              <w:jc w:val="right"/>
            </w:pPr>
            <w:r w:rsidRPr="005C6EE6">
              <w:t>294.000 kr.</w:t>
            </w:r>
          </w:p>
        </w:tc>
      </w:tr>
      <w:tr w:rsidR="005C6EE6" w:rsidRPr="005C6EE6" w14:paraId="628DF1A9" w14:textId="77777777" w:rsidTr="00913B08">
        <w:trPr>
          <w:jc w:val="center"/>
        </w:trPr>
        <w:tc>
          <w:tcPr>
            <w:tcW w:w="7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C8A261" w14:textId="77777777" w:rsidR="005C6EE6" w:rsidRPr="005C6EE6" w:rsidRDefault="005C6EE6" w:rsidP="005C6EE6">
            <w:r w:rsidRPr="005C6EE6">
              <w:t>Indsamlingsordning for storskrald</w:t>
            </w:r>
          </w:p>
        </w:tc>
        <w:tc>
          <w:tcPr>
            <w:tcW w:w="2099" w:type="dxa"/>
            <w:tcBorders>
              <w:top w:val="nil"/>
              <w:left w:val="nil"/>
              <w:bottom w:val="single" w:sz="8" w:space="0" w:color="auto"/>
              <w:right w:val="single" w:sz="8" w:space="0" w:color="auto"/>
            </w:tcBorders>
            <w:tcMar>
              <w:top w:w="0" w:type="dxa"/>
              <w:left w:w="108" w:type="dxa"/>
              <w:bottom w:w="0" w:type="dxa"/>
              <w:right w:w="108" w:type="dxa"/>
            </w:tcMar>
          </w:tcPr>
          <w:p w14:paraId="560A41DF" w14:textId="0F82757E" w:rsidR="005C6EE6" w:rsidRPr="005C6EE6" w:rsidRDefault="005C6EE6" w:rsidP="00FB3D9F">
            <w:pPr>
              <w:jc w:val="right"/>
            </w:pPr>
            <w:r w:rsidRPr="005C6EE6">
              <w:t>1.059.000</w:t>
            </w:r>
            <w:r w:rsidR="00322ED0">
              <w:t xml:space="preserve"> kr. </w:t>
            </w:r>
          </w:p>
        </w:tc>
      </w:tr>
      <w:tr w:rsidR="005C6EE6" w:rsidRPr="005C6EE6" w14:paraId="31F90FA5" w14:textId="77777777" w:rsidTr="00913B08">
        <w:trPr>
          <w:jc w:val="center"/>
        </w:trPr>
        <w:tc>
          <w:tcPr>
            <w:tcW w:w="7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CBE93" w14:textId="77777777" w:rsidR="005C6EE6" w:rsidRPr="005C6EE6" w:rsidRDefault="005C6EE6" w:rsidP="005C6EE6">
            <w:r w:rsidRPr="005C6EE6">
              <w:t>Indsamlingsordninger for papir, pap, glas, metal og plast</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14:paraId="1EA819F8" w14:textId="77777777" w:rsidR="005C6EE6" w:rsidRPr="005C6EE6" w:rsidRDefault="005C6EE6" w:rsidP="00FB3D9F">
            <w:pPr>
              <w:jc w:val="right"/>
            </w:pPr>
            <w:r w:rsidRPr="005C6EE6">
              <w:t>9.167.000 kr.</w:t>
            </w:r>
          </w:p>
        </w:tc>
      </w:tr>
      <w:tr w:rsidR="005C6EE6" w:rsidRPr="005C6EE6" w14:paraId="138B9721" w14:textId="77777777" w:rsidTr="00913B08">
        <w:trPr>
          <w:jc w:val="center"/>
        </w:trPr>
        <w:tc>
          <w:tcPr>
            <w:tcW w:w="7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9EA88" w14:textId="77777777" w:rsidR="005C6EE6" w:rsidRPr="005C6EE6" w:rsidRDefault="005C6EE6" w:rsidP="005C6EE6">
            <w:r w:rsidRPr="005C6EE6">
              <w:t>Indsamlingsordninger for farligt affald</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14:paraId="55074915" w14:textId="77777777" w:rsidR="005C6EE6" w:rsidRPr="005C6EE6" w:rsidRDefault="005C6EE6" w:rsidP="00FB3D9F">
            <w:pPr>
              <w:jc w:val="right"/>
            </w:pPr>
            <w:r w:rsidRPr="005C6EE6">
              <w:t>165.000 kr.</w:t>
            </w:r>
          </w:p>
        </w:tc>
      </w:tr>
      <w:tr w:rsidR="005C6EE6" w:rsidRPr="005C6EE6" w14:paraId="3B869495" w14:textId="77777777" w:rsidTr="00913B08">
        <w:trPr>
          <w:jc w:val="center"/>
        </w:trPr>
        <w:tc>
          <w:tcPr>
            <w:tcW w:w="7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18110" w14:textId="77777777" w:rsidR="005C6EE6" w:rsidRPr="005C6EE6" w:rsidRDefault="005C6EE6" w:rsidP="005C6EE6">
            <w:r w:rsidRPr="005C6EE6">
              <w:t>Genbrugspladser</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14:paraId="1F3125DF" w14:textId="77777777" w:rsidR="005C6EE6" w:rsidRPr="005C6EE6" w:rsidRDefault="005C6EE6" w:rsidP="00FB3D9F">
            <w:pPr>
              <w:jc w:val="right"/>
            </w:pPr>
            <w:r w:rsidRPr="005C6EE6">
              <w:t>23.206.000 kr.</w:t>
            </w:r>
          </w:p>
        </w:tc>
      </w:tr>
      <w:tr w:rsidR="005C6EE6" w:rsidRPr="005C6EE6" w14:paraId="2033FED5" w14:textId="77777777" w:rsidTr="00913B08">
        <w:trPr>
          <w:jc w:val="center"/>
        </w:trPr>
        <w:tc>
          <w:tcPr>
            <w:tcW w:w="7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EF74A" w14:textId="77777777" w:rsidR="005C6EE6" w:rsidRPr="005C6EE6" w:rsidRDefault="005C6EE6" w:rsidP="005C6EE6">
            <w:r w:rsidRPr="005C6EE6">
              <w:t>Småt elektronik og batterier på låg</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14:paraId="34619F96" w14:textId="77777777" w:rsidR="005C6EE6" w:rsidRPr="005C6EE6" w:rsidRDefault="005C6EE6" w:rsidP="00FB3D9F">
            <w:pPr>
              <w:jc w:val="right"/>
            </w:pPr>
            <w:r w:rsidRPr="005C6EE6">
              <w:t>293.000 kr.</w:t>
            </w:r>
          </w:p>
        </w:tc>
      </w:tr>
      <w:tr w:rsidR="005C6EE6" w:rsidRPr="005C6EE6" w14:paraId="2A00A5F5" w14:textId="77777777" w:rsidTr="00913B08">
        <w:trPr>
          <w:jc w:val="center"/>
        </w:trPr>
        <w:tc>
          <w:tcPr>
            <w:tcW w:w="7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3F3D8" w14:textId="77777777" w:rsidR="005C6EE6" w:rsidRPr="005C6EE6" w:rsidRDefault="005C6EE6" w:rsidP="005C6EE6">
            <w:r w:rsidRPr="005C6EE6">
              <w:t>I alt</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14:paraId="496E5D5D" w14:textId="77777777" w:rsidR="005C6EE6" w:rsidRPr="005C6EE6" w:rsidRDefault="005C6EE6" w:rsidP="00FB3D9F">
            <w:pPr>
              <w:jc w:val="right"/>
            </w:pPr>
            <w:r w:rsidRPr="00322ED0">
              <w:rPr>
                <w:b/>
                <w:bCs/>
              </w:rPr>
              <w:t>63.483.000 kr.</w:t>
            </w:r>
          </w:p>
        </w:tc>
      </w:tr>
    </w:tbl>
    <w:p w14:paraId="3033BC13" w14:textId="08E0C87B" w:rsidR="003B741D" w:rsidRDefault="003B741D">
      <w:pPr>
        <w:suppressAutoHyphens w:val="0"/>
        <w:autoSpaceDN/>
        <w:spacing w:after="200" w:line="276" w:lineRule="auto"/>
        <w:textAlignment w:val="auto"/>
        <w:rPr>
          <w:rFonts w:ascii="Verdana" w:eastAsiaTheme="majorEastAsia" w:hAnsi="Verdana" w:cstheme="majorBidi"/>
          <w:b/>
          <w:bCs/>
          <w:caps/>
          <w:sz w:val="40"/>
          <w:szCs w:val="28"/>
        </w:rPr>
      </w:pPr>
      <w:bookmarkStart w:id="120" w:name="_Toc65581892"/>
      <w:bookmarkStart w:id="121" w:name="_Toc65685139"/>
      <w:bookmarkStart w:id="122" w:name="_Toc66217087"/>
      <w:bookmarkStart w:id="123" w:name="_Toc68083494"/>
      <w:bookmarkStart w:id="124" w:name="_Toc68090427"/>
      <w:bookmarkStart w:id="125" w:name="_Toc68530398"/>
      <w:bookmarkStart w:id="126" w:name="_Toc68582129"/>
      <w:bookmarkStart w:id="127" w:name="_Toc68611310"/>
      <w:bookmarkStart w:id="128" w:name="_Toc69216626"/>
      <w:bookmarkStart w:id="129" w:name="_Toc70950920"/>
      <w:bookmarkStart w:id="130" w:name="_Toc76126050"/>
    </w:p>
    <w:p w14:paraId="77E65064" w14:textId="48884E61" w:rsidR="005C6EE6" w:rsidRPr="005C6EE6" w:rsidRDefault="005C6EE6" w:rsidP="006C7D9B">
      <w:pPr>
        <w:pStyle w:val="Overskrift1"/>
      </w:pPr>
      <w:bookmarkStart w:id="131" w:name="_Toc85189842"/>
      <w:r w:rsidRPr="005C6EE6">
        <w:lastRenderedPageBreak/>
        <w:t>Målsætningsdel</w:t>
      </w:r>
      <w:bookmarkEnd w:id="120"/>
      <w:bookmarkEnd w:id="121"/>
      <w:bookmarkEnd w:id="122"/>
      <w:bookmarkEnd w:id="123"/>
      <w:bookmarkEnd w:id="124"/>
      <w:bookmarkEnd w:id="125"/>
      <w:bookmarkEnd w:id="126"/>
      <w:bookmarkEnd w:id="127"/>
      <w:bookmarkEnd w:id="128"/>
      <w:bookmarkEnd w:id="129"/>
      <w:bookmarkEnd w:id="130"/>
      <w:bookmarkEnd w:id="131"/>
    </w:p>
    <w:p w14:paraId="59A70AE1" w14:textId="0D58CD0A" w:rsidR="005C6EE6" w:rsidRPr="005C6EE6" w:rsidRDefault="005C6EE6" w:rsidP="005C6EE6">
      <w:r w:rsidRPr="005C6EE6">
        <w:t xml:space="preserve">Affaldsplanen skal ifølge </w:t>
      </w:r>
      <w:r w:rsidR="00386FF0">
        <w:t>a</w:t>
      </w:r>
      <w:r w:rsidRPr="005C6EE6">
        <w:t xml:space="preserve">ffaldsbekendtgørelsens §14 udarbejdes dels i overensstemmelse med affaldshierarkiet, som det er oplistet i </w:t>
      </w:r>
      <w:r w:rsidR="00386FF0">
        <w:t>m</w:t>
      </w:r>
      <w:r w:rsidRPr="005C6EE6">
        <w:t>iljøbeskyttelseslovens § 6b, dels med udgangspunkt i den nationale affaldshåndteringsplan, jf. § 46 c i lov om miljøbeskyttelse, og det præciseres, at den kommunale affaldsplan ikke må stride mod den nationale.</w:t>
      </w:r>
    </w:p>
    <w:p w14:paraId="785951FF" w14:textId="5EDAC8B9" w:rsidR="005C6EE6" w:rsidRPr="005C6EE6" w:rsidRDefault="005C6EE6" w:rsidP="005C6EE6">
      <w:r w:rsidRPr="005C6EE6">
        <w:t>Målsætningsafsnittet er – for at sikre imødekommelse af begge forudsætninger – følgelig disponeret efter affaldshierarkiet, idet de krav, som måtte gælde for kommunerne i den nationale affaldshåndteringsplan, ’Handlingsplan for cirkulær økonomi – National plan for forebyggelse og håndtering af affald 2020-2032’, så er indarbejdet og reflekteret under de respektive niveauer i hierarkiet.</w:t>
      </w:r>
    </w:p>
    <w:p w14:paraId="15AB91EF" w14:textId="799629F8" w:rsidR="005C6EE6" w:rsidRDefault="00322ED0" w:rsidP="005C6EE6">
      <w:r>
        <w:t>A</w:t>
      </w:r>
      <w:r w:rsidR="005C6EE6" w:rsidRPr="005C6EE6">
        <w:t xml:space="preserve">ffaldsforebyggelse </w:t>
      </w:r>
      <w:r>
        <w:t xml:space="preserve">er </w:t>
      </w:r>
      <w:r w:rsidR="005C6EE6" w:rsidRPr="005C6EE6">
        <w:t>ikke en konkret opgave for kommunen som affaldsmyndighed</w:t>
      </w:r>
      <w:r>
        <w:t>,</w:t>
      </w:r>
      <w:r w:rsidR="005C6EE6" w:rsidRPr="005C6EE6">
        <w:t xml:space="preserve"> </w:t>
      </w:r>
      <w:r>
        <w:t>idet de</w:t>
      </w:r>
      <w:r w:rsidR="000A48EA">
        <w:t>n</w:t>
      </w:r>
      <w:r>
        <w:t xml:space="preserve"> som </w:t>
      </w:r>
      <w:r w:rsidR="005C6EE6" w:rsidRPr="005C6EE6">
        <w:t xml:space="preserve">sådan alene </w:t>
      </w:r>
      <w:r>
        <w:t xml:space="preserve">skal </w:t>
      </w:r>
      <w:r w:rsidR="005C6EE6" w:rsidRPr="005C6EE6">
        <w:t>arbejde inden for det affaldshåndteringshierarki, som fremgår af affaldsbekendtgørelsens § 13</w:t>
      </w:r>
      <w:r>
        <w:t>. Derfor</w:t>
      </w:r>
      <w:r w:rsidR="005C6EE6" w:rsidRPr="005C6EE6">
        <w:t xml:space="preserve"> omtales forebyggelsen afslutningsvist, idet der bl.a. henvises til kommunens øvrige strategier og politikker, og hvordan de bidrager til affaldsforebyggelsen</w:t>
      </w:r>
      <w:r w:rsidR="003B741D">
        <w:t>.</w:t>
      </w:r>
    </w:p>
    <w:p w14:paraId="2F30011A" w14:textId="77777777" w:rsidR="003B741D" w:rsidRPr="005C6EE6" w:rsidRDefault="003B741D" w:rsidP="005C6EE6"/>
    <w:p w14:paraId="720A3FAF" w14:textId="0818857B" w:rsidR="005C6EE6" w:rsidRPr="005C6EE6" w:rsidRDefault="006C7D9B" w:rsidP="006C7D9B">
      <w:pPr>
        <w:pStyle w:val="Overskrift2"/>
      </w:pPr>
      <w:bookmarkStart w:id="132" w:name="_Toc65685141"/>
      <w:bookmarkStart w:id="133" w:name="_Toc66217089"/>
      <w:bookmarkStart w:id="134" w:name="_Toc68083495"/>
      <w:bookmarkStart w:id="135" w:name="_Toc68090428"/>
      <w:bookmarkStart w:id="136" w:name="_Toc68530399"/>
      <w:bookmarkStart w:id="137" w:name="_Toc68582130"/>
      <w:bookmarkStart w:id="138" w:name="_Toc68611311"/>
      <w:bookmarkStart w:id="139" w:name="_Toc69216627"/>
      <w:bookmarkStart w:id="140" w:name="_Toc70950921"/>
      <w:bookmarkStart w:id="141" w:name="_Toc76126051"/>
      <w:bookmarkStart w:id="142" w:name="_Toc85189843"/>
      <w:r>
        <w:t>F</w:t>
      </w:r>
      <w:r w:rsidR="005C6EE6" w:rsidRPr="005C6EE6">
        <w:t>orberedelse med henblik på genbrug</w:t>
      </w:r>
      <w:bookmarkEnd w:id="132"/>
      <w:bookmarkEnd w:id="133"/>
      <w:bookmarkEnd w:id="134"/>
      <w:bookmarkEnd w:id="135"/>
      <w:bookmarkEnd w:id="136"/>
      <w:bookmarkEnd w:id="137"/>
      <w:bookmarkEnd w:id="138"/>
      <w:bookmarkEnd w:id="139"/>
      <w:bookmarkEnd w:id="140"/>
      <w:bookmarkEnd w:id="141"/>
      <w:bookmarkEnd w:id="142"/>
    </w:p>
    <w:p w14:paraId="0E3A0FD1" w14:textId="46C47EC6" w:rsidR="005C6EE6" w:rsidRPr="005C6EE6" w:rsidRDefault="00913B08" w:rsidP="005C6EE6">
      <w:r>
        <w:t xml:space="preserve">Vordingborg </w:t>
      </w:r>
      <w:r w:rsidR="005C6EE6" w:rsidRPr="005C6EE6">
        <w:t>Kommune vil i planperioden fortsat tilskynde borgerne til øget genbrug – herunder til at købe brugt og til at aflevere brugte ting til genbrug gennem de allerede eksisterende kanaler.</w:t>
      </w:r>
    </w:p>
    <w:p w14:paraId="647D867C" w14:textId="77777777" w:rsidR="005C6EE6" w:rsidRPr="005C6EE6" w:rsidRDefault="005C6EE6" w:rsidP="005C6EE6">
      <w:r w:rsidRPr="005C6EE6">
        <w:t>Samtidig vil kommunen gennem det fælleskommunale affaldsselskab AffaldPlus bidrage til forberedelse til genbrug og genbrug af en række forskellige materialer, komponenter og produkter, således træ og andre byggematerialer, møbler, haveartikler, tekstil, elektronik og køkkeninventar m.v. gennem Plus-butikker og -markeder.</w:t>
      </w:r>
    </w:p>
    <w:p w14:paraId="3E9D40C7" w14:textId="77777777" w:rsidR="005C6EE6" w:rsidRPr="005C6EE6" w:rsidRDefault="005C6EE6" w:rsidP="005C6EE6">
      <w:pPr>
        <w:rPr>
          <w:rFonts w:ascii="Calibri" w:hAnsi="Calibri"/>
        </w:rPr>
      </w:pPr>
      <w:r w:rsidRPr="005C6EE6">
        <w:t xml:space="preserve">Kommunen og det fælleskommunale selskab vil således påtage sig det ansvar, der er i den cirkulære økonomi for at allokere de produkter, komponenter og materialer tilbage i samfundets stofkredsløb, som egner sig hertil, og omvendt sikre, at produkter, komponenter og materialer, der grundet iboende egenskaber eller miljø- og klimaeffekter i brugsfasen </w:t>
      </w:r>
      <w:r w:rsidRPr="005C6EE6">
        <w:rPr>
          <w:i/>
          <w:iCs/>
        </w:rPr>
        <w:t>ikke</w:t>
      </w:r>
      <w:r w:rsidRPr="005C6EE6">
        <w:t xml:space="preserve"> måtte egne sig til genbrug, i stedet allokeres til en miljø- og ressourcemæssigt forsvarlig håndtering (herunder materialegenanvendelse, energiudnyttelse eller deponering).</w:t>
      </w:r>
    </w:p>
    <w:p w14:paraId="3CBE8CF9" w14:textId="77777777" w:rsidR="003B741D" w:rsidRPr="005C6EE6" w:rsidRDefault="003B741D" w:rsidP="005C6EE6"/>
    <w:p w14:paraId="4FA0F3BB" w14:textId="166394D7" w:rsidR="005C6EE6" w:rsidRPr="005C6EE6" w:rsidRDefault="005C6EE6" w:rsidP="006C7D9B">
      <w:pPr>
        <w:pStyle w:val="Overskrift2"/>
      </w:pPr>
      <w:bookmarkStart w:id="143" w:name="_Toc65685142"/>
      <w:bookmarkStart w:id="144" w:name="_Toc66217090"/>
      <w:bookmarkStart w:id="145" w:name="_Toc68083496"/>
      <w:bookmarkStart w:id="146" w:name="_Toc68090429"/>
      <w:bookmarkStart w:id="147" w:name="_Toc68530400"/>
      <w:bookmarkStart w:id="148" w:name="_Toc68582131"/>
      <w:bookmarkStart w:id="149" w:name="_Toc68611312"/>
      <w:bookmarkStart w:id="150" w:name="_Toc69216628"/>
      <w:bookmarkStart w:id="151" w:name="_Toc70950922"/>
      <w:bookmarkStart w:id="152" w:name="_Toc76126052"/>
      <w:bookmarkStart w:id="153" w:name="_Toc85189844"/>
      <w:r w:rsidRPr="005C6EE6">
        <w:t>Genanvendelse</w:t>
      </w:r>
      <w:bookmarkEnd w:id="143"/>
      <w:bookmarkEnd w:id="144"/>
      <w:bookmarkEnd w:id="145"/>
      <w:bookmarkEnd w:id="146"/>
      <w:bookmarkEnd w:id="147"/>
      <w:bookmarkEnd w:id="148"/>
      <w:bookmarkEnd w:id="149"/>
      <w:bookmarkEnd w:id="150"/>
      <w:bookmarkEnd w:id="151"/>
      <w:bookmarkEnd w:id="152"/>
      <w:bookmarkEnd w:id="153"/>
    </w:p>
    <w:p w14:paraId="6CB33528" w14:textId="063CD497" w:rsidR="005C6EE6" w:rsidRPr="005C6EE6" w:rsidRDefault="005C6EE6" w:rsidP="005C6EE6">
      <w:r w:rsidRPr="005C6EE6">
        <w:t>Den nationale affaldsplan fastsætter ikke konkrete genanvendelsesmål for kommunerne, men henviser til EU's målsætninger</w:t>
      </w:r>
      <w:r w:rsidR="000A48EA">
        <w:t>. F</w:t>
      </w:r>
      <w:r w:rsidRPr="005C6EE6">
        <w:t xml:space="preserve">.s.v.a. målsætninger, hvis opfyldelse kommunen har indflydelse på, er </w:t>
      </w:r>
      <w:r w:rsidR="000A48EA">
        <w:t xml:space="preserve">de </w:t>
      </w:r>
      <w:r w:rsidRPr="005C6EE6">
        <w:t>opsummeret i afsnit 1 og i deres helhed i Bilag I.</w:t>
      </w:r>
    </w:p>
    <w:p w14:paraId="320B32C6" w14:textId="77777777" w:rsidR="005C6EE6" w:rsidRPr="005C6EE6" w:rsidRDefault="005C6EE6" w:rsidP="005C6EE6">
      <w:r w:rsidRPr="005C6EE6">
        <w:t>EU-målsætningerne gælder for såvel kommunalt affald som erhvervsaffald, hvorfor begge parter skal bidrage til opfyldelsen.</w:t>
      </w:r>
    </w:p>
    <w:p w14:paraId="72A7977D" w14:textId="77777777" w:rsidR="005C6EE6" w:rsidRPr="005C6EE6" w:rsidRDefault="005C6EE6" w:rsidP="005C6EE6">
      <w:r w:rsidRPr="005C6EE6">
        <w:t xml:space="preserve">Kommunen må efter gældende regler ikke etablere ordninger for eller tilbyde indsamling af sorteret erhvervsaffald egnet til materialenyttiggørelse fra virksomheder, men kan dog lade sorteret erhvervsaffald egnet til materialenyttiggørelse fra kommunens egne institutioner og virksomheder være omfattet af ordninger for affald egnet til materialenyttiggørelse. </w:t>
      </w:r>
    </w:p>
    <w:p w14:paraId="226B9424" w14:textId="77777777" w:rsidR="005C6EE6" w:rsidRPr="005C6EE6" w:rsidRDefault="005C6EE6" w:rsidP="005C6EE6">
      <w:r w:rsidRPr="005C6EE6">
        <w:t xml:space="preserve">På tilsvarende vis kan kommunen tilbyde virksomheder i blandet bolig og erhverv at tilslutte sig den kommunale ordning for genanvendeligt affald fra husholdninger, ligesom kommunen gennem </w:t>
      </w:r>
      <w:r w:rsidRPr="005C6EE6">
        <w:lastRenderedPageBreak/>
        <w:t xml:space="preserve">sit tilsyn med virksomheder skal påse, at erhvervsaffald, egnet til materialenyttiggørelse, udsorteres og genanvendes. </w:t>
      </w:r>
    </w:p>
    <w:p w14:paraId="141EFB21" w14:textId="77777777" w:rsidR="005C6EE6" w:rsidRPr="005C6EE6" w:rsidRDefault="005C6EE6" w:rsidP="005C6EE6">
      <w:r w:rsidRPr="005C6EE6">
        <w:t xml:space="preserve">Klimaplan for en grøn affaldssektor og cirkulær økonomi peger på, at tilbuddet om at erhverv kan tilslutte sig den kommunale ordning for indsamling af genanvendeligt affald, skal udvides til at gælde alle (mindre) erhverv, og kommunen vil være parat hertil, når lovgrundlaget er på plads. </w:t>
      </w:r>
    </w:p>
    <w:p w14:paraId="0394D07F" w14:textId="77777777" w:rsidR="005C6EE6" w:rsidRPr="005C6EE6" w:rsidRDefault="005C6EE6" w:rsidP="005C6EE6">
      <w:r w:rsidRPr="005C6EE6">
        <w:t>F.s.v.a. det kommunale affald forudsætter den nationale affaldsplan, at målsætningerne kan opnås gennem tilrettelæggelse af ensartede indsamlingsordninger i form af henteordninger for 10 nærmere angivne affaldstyper.</w:t>
      </w:r>
    </w:p>
    <w:p w14:paraId="7F0F51C1" w14:textId="356FA040" w:rsidR="005C6EE6" w:rsidRPr="005C6EE6" w:rsidRDefault="005C6EE6" w:rsidP="005C6EE6">
      <w:r w:rsidRPr="005C6EE6">
        <w:t xml:space="preserve">Det er følgelig kommunens overordnede målsætning for genanvendelsen at bidrage til opfyldelse af målsætningen om 55 % reel genanvendelse af det kommunale affald i 2025 og 60 % i 2030 ved at supplere de eksisterende indsamlingsordninger for 7 affaldstyper, så der i planperioden vil </w:t>
      </w:r>
      <w:r w:rsidR="000A48EA">
        <w:t>blive indført</w:t>
      </w:r>
      <w:r w:rsidRPr="005C6EE6">
        <w:t xml:space="preserve"> indsamlingsordninger i form af henteordninger for de 10 affaldstyper, som planen og affaldsbekendtgørelsen foreskriver.</w:t>
      </w:r>
    </w:p>
    <w:p w14:paraId="09C04D1B" w14:textId="77777777" w:rsidR="005C6EE6" w:rsidRPr="005C6EE6" w:rsidRDefault="005C6EE6" w:rsidP="005C6EE6">
      <w:r w:rsidRPr="005C6EE6">
        <w:t>Hertil er det kommunens målsætning at øge den reelle genanvendelse af det affald, der indsamles via genrugspladserne, først og fremmest ved gennem målrettet kommunikation til borgerne at søge en større andel af fraktionen ’småt brændbart’ udsorteret til genanvendelse. Endelig vil kommunen gennem sit fælleskommunale affaldsselskab, AffaldPlus, sikre en så høj reel genanvendelse som muligt gennem kontraktstyring af de virksomheder, det genanvendelige affald overdrages til.</w:t>
      </w:r>
    </w:p>
    <w:p w14:paraId="315ABF2E" w14:textId="0A6E1870" w:rsidR="005C6EE6" w:rsidRDefault="005C6EE6" w:rsidP="005C6EE6">
      <w:r w:rsidRPr="005C6EE6">
        <w:t>Hvad de øvrige EU-målsætninger angår, har kommunen på tilsvarende vis som målsætning at bidrage til opfyldelsen heraf - i al væsentlighed gennem at tilbyde borgerne velegnede indsamlings- og anvisningsordninger og at kommunikere om disse.</w:t>
      </w:r>
    </w:p>
    <w:p w14:paraId="3CAC43AD" w14:textId="77777777" w:rsidR="003B741D" w:rsidRPr="005C6EE6" w:rsidRDefault="003B741D" w:rsidP="005C6EE6"/>
    <w:p w14:paraId="01650E4C" w14:textId="0551AA91" w:rsidR="005C6EE6" w:rsidRPr="005C6EE6" w:rsidRDefault="005C6EE6" w:rsidP="006C7D9B">
      <w:pPr>
        <w:pStyle w:val="Overskrift2"/>
      </w:pPr>
      <w:bookmarkStart w:id="154" w:name="_Toc65685143"/>
      <w:bookmarkStart w:id="155" w:name="_Toc66217091"/>
      <w:bookmarkStart w:id="156" w:name="_Toc68083497"/>
      <w:bookmarkStart w:id="157" w:name="_Toc68090430"/>
      <w:bookmarkStart w:id="158" w:name="_Toc68530401"/>
      <w:bookmarkStart w:id="159" w:name="_Toc68582132"/>
      <w:bookmarkStart w:id="160" w:name="_Toc68611313"/>
      <w:bookmarkStart w:id="161" w:name="_Toc69216629"/>
      <w:bookmarkStart w:id="162" w:name="_Toc70950923"/>
      <w:bookmarkStart w:id="163" w:name="_Toc76126053"/>
      <w:bookmarkStart w:id="164" w:name="_Toc85189845"/>
      <w:r w:rsidRPr="005C6EE6">
        <w:t>Anden nyttiggørelse</w:t>
      </w:r>
      <w:bookmarkEnd w:id="154"/>
      <w:bookmarkEnd w:id="155"/>
      <w:bookmarkEnd w:id="156"/>
      <w:bookmarkEnd w:id="157"/>
      <w:bookmarkEnd w:id="158"/>
      <w:bookmarkEnd w:id="159"/>
      <w:bookmarkEnd w:id="160"/>
      <w:bookmarkEnd w:id="161"/>
      <w:bookmarkEnd w:id="162"/>
      <w:bookmarkEnd w:id="163"/>
      <w:bookmarkEnd w:id="164"/>
    </w:p>
    <w:p w14:paraId="1CE23122" w14:textId="3AD715B5" w:rsidR="005C6EE6" w:rsidRDefault="005C6EE6" w:rsidP="005C6EE6">
      <w:r w:rsidRPr="005C6EE6">
        <w:t xml:space="preserve">Kommunen har som målsætning at søge </w:t>
      </w:r>
      <w:r w:rsidR="000A48EA">
        <w:t xml:space="preserve">nyttiggørelse af </w:t>
      </w:r>
      <w:r w:rsidRPr="005C6EE6">
        <w:t>det affald, der ikke kan forberedes til genbrug eller sikres en høj, reel genanvendelse</w:t>
      </w:r>
      <w:r w:rsidR="000A48EA">
        <w:t>. Nyttiggørelsen søges opnået</w:t>
      </w:r>
      <w:r w:rsidRPr="005C6EE6">
        <w:t xml:space="preserve"> enten ved anden endelig materialenyttiggørelse (herunder opfyldning og bygge- og anlægstekniske formål) eller ved energinyttiggørelse med efterfølgende materialegenanvendelse af metalindholdet i forbrændingsslaggen og anden endelig materialenyttiggørelse af den resterende slagge til bygge- og anlægstekniske formål.</w:t>
      </w:r>
    </w:p>
    <w:p w14:paraId="5835F05E" w14:textId="77777777" w:rsidR="003B741D" w:rsidRPr="005C6EE6" w:rsidRDefault="003B741D" w:rsidP="005C6EE6"/>
    <w:p w14:paraId="2C83AFAF" w14:textId="29092178" w:rsidR="005C6EE6" w:rsidRPr="005C6EE6" w:rsidRDefault="005C6EE6" w:rsidP="006C7D9B">
      <w:pPr>
        <w:pStyle w:val="Overskrift2"/>
      </w:pPr>
      <w:bookmarkStart w:id="165" w:name="_Toc65685144"/>
      <w:bookmarkStart w:id="166" w:name="_Toc66217092"/>
      <w:bookmarkStart w:id="167" w:name="_Toc68083498"/>
      <w:bookmarkStart w:id="168" w:name="_Toc68090431"/>
      <w:bookmarkStart w:id="169" w:name="_Toc68530402"/>
      <w:bookmarkStart w:id="170" w:name="_Toc68582133"/>
      <w:bookmarkStart w:id="171" w:name="_Toc68611314"/>
      <w:bookmarkStart w:id="172" w:name="_Toc69216630"/>
      <w:bookmarkStart w:id="173" w:name="_Toc70950924"/>
      <w:bookmarkStart w:id="174" w:name="_Toc76126054"/>
      <w:bookmarkStart w:id="175" w:name="_Toc85189846"/>
      <w:r w:rsidRPr="005C6EE6">
        <w:t>Bortskaffelse</w:t>
      </w:r>
      <w:bookmarkEnd w:id="165"/>
      <w:bookmarkEnd w:id="166"/>
      <w:bookmarkEnd w:id="167"/>
      <w:bookmarkEnd w:id="168"/>
      <w:bookmarkEnd w:id="169"/>
      <w:bookmarkEnd w:id="170"/>
      <w:bookmarkEnd w:id="171"/>
      <w:bookmarkEnd w:id="172"/>
      <w:bookmarkEnd w:id="173"/>
      <w:bookmarkEnd w:id="174"/>
      <w:bookmarkEnd w:id="175"/>
    </w:p>
    <w:p w14:paraId="52F792BE" w14:textId="1AAD57D3" w:rsidR="005C6EE6" w:rsidRDefault="005C6EE6" w:rsidP="005C6EE6">
      <w:r w:rsidRPr="005C6EE6">
        <w:t>Kommunen har som målsætning at holde andelen af affald, der går til deponering, på det eksisterende lave niveau</w:t>
      </w:r>
      <w:r w:rsidR="000A48EA">
        <w:t xml:space="preserve">. Vordingborg Kommune </w:t>
      </w:r>
      <w:r w:rsidRPr="005C6EE6">
        <w:t>opfylder</w:t>
      </w:r>
      <w:r w:rsidR="000A48EA">
        <w:t xml:space="preserve"> allerede</w:t>
      </w:r>
      <w:r w:rsidRPr="005C6EE6">
        <w:t xml:space="preserve"> EU-målsætningen om max. 10 % til deponering, men har samtidig som målsætning at sikre det affald udsorteret til deponering, som er egnet hertil, og hvor det ud fra en livscyklustankegang er at foretrække – herunder at holde asbest- og PCB-holdigt bygge- og anlægsaffald samt ikke-genanvendelig (blød) PVC ude af materialekredsløbet i den cirkulære økonomi. </w:t>
      </w:r>
    </w:p>
    <w:p w14:paraId="0F2514B9" w14:textId="77777777" w:rsidR="000A48EA" w:rsidRPr="005C6EE6" w:rsidRDefault="000A48EA" w:rsidP="005C6EE6"/>
    <w:p w14:paraId="7EC57420" w14:textId="7AB86386" w:rsidR="005C6EE6" w:rsidRPr="005C6EE6" w:rsidRDefault="005C6EE6" w:rsidP="006C7D9B">
      <w:pPr>
        <w:pStyle w:val="Overskrift2"/>
      </w:pPr>
      <w:bookmarkStart w:id="176" w:name="_Toc65685140"/>
      <w:bookmarkStart w:id="177" w:name="_Toc66217088"/>
      <w:bookmarkStart w:id="178" w:name="_Toc68083499"/>
      <w:bookmarkStart w:id="179" w:name="_Toc68090432"/>
      <w:bookmarkStart w:id="180" w:name="_Toc68530403"/>
      <w:bookmarkStart w:id="181" w:name="_Toc68582134"/>
      <w:bookmarkStart w:id="182" w:name="_Toc68611315"/>
      <w:bookmarkStart w:id="183" w:name="_Toc69216631"/>
      <w:bookmarkStart w:id="184" w:name="_Toc70950925"/>
      <w:bookmarkStart w:id="185" w:name="_Toc76126055"/>
      <w:bookmarkStart w:id="186" w:name="_Toc85189847"/>
      <w:bookmarkStart w:id="187" w:name="_Hlk80779301"/>
      <w:r w:rsidRPr="005C6EE6">
        <w:t>Overvejelser vedr. kommunens bidrag til affaldsforebyggelse</w:t>
      </w:r>
      <w:bookmarkEnd w:id="176"/>
      <w:bookmarkEnd w:id="177"/>
      <w:bookmarkEnd w:id="178"/>
      <w:bookmarkEnd w:id="179"/>
      <w:bookmarkEnd w:id="180"/>
      <w:bookmarkEnd w:id="181"/>
      <w:bookmarkEnd w:id="182"/>
      <w:bookmarkEnd w:id="183"/>
      <w:bookmarkEnd w:id="184"/>
      <w:bookmarkEnd w:id="185"/>
      <w:bookmarkEnd w:id="186"/>
    </w:p>
    <w:p w14:paraId="7804E3C3" w14:textId="6E443135" w:rsidR="005C6EE6" w:rsidRPr="005C6EE6" w:rsidRDefault="005C6EE6" w:rsidP="005C6EE6">
      <w:pPr>
        <w:rPr>
          <w:rFonts w:ascii="Calibri" w:hAnsi="Calibri"/>
        </w:rPr>
      </w:pPr>
      <w:r w:rsidRPr="005C6EE6">
        <w:t xml:space="preserve">Hverken udkastet til den nationale affaldshåndteringsplan eller </w:t>
      </w:r>
      <w:r w:rsidR="00386FF0">
        <w:t>a</w:t>
      </w:r>
      <w:r w:rsidR="00913B08">
        <w:t>ffaldsbekendtgørelse</w:t>
      </w:r>
      <w:r w:rsidRPr="005C6EE6">
        <w:t>n</w:t>
      </w:r>
      <w:r w:rsidRPr="005C6EE6">
        <w:rPr>
          <w:rFonts w:eastAsia="Times New Roman"/>
          <w:color w:val="2E74B5"/>
          <w:sz w:val="24"/>
          <w:szCs w:val="24"/>
        </w:rPr>
        <w:t xml:space="preserve"> </w:t>
      </w:r>
      <w:r w:rsidRPr="005C6EE6">
        <w:t>pålægger kommunerne at udføre egentlige forebyggelsestiltag</w:t>
      </w:r>
      <w:r w:rsidR="000A48EA">
        <w:t>.</w:t>
      </w:r>
    </w:p>
    <w:p w14:paraId="6EA29EA8" w14:textId="2DDCC8E4" w:rsidR="005C6EE6" w:rsidRPr="005C6EE6" w:rsidRDefault="005C6EE6" w:rsidP="005C6EE6">
      <w:r w:rsidRPr="005C6EE6">
        <w:lastRenderedPageBreak/>
        <w:t xml:space="preserve">Men affaldsbekendtgørelsen præciserer, at affaldsplanen skal udarbejdes i overensstemmelse med </w:t>
      </w:r>
      <w:r w:rsidR="00386FF0">
        <w:t>m</w:t>
      </w:r>
      <w:r w:rsidRPr="005C6EE6">
        <w:t xml:space="preserve">iljøbeskyttelseslovens affaldshierarki, </w:t>
      </w:r>
      <w:r w:rsidR="000A48EA">
        <w:t xml:space="preserve">der </w:t>
      </w:r>
      <w:r w:rsidRPr="005C6EE6">
        <w:t xml:space="preserve">har affaldsforebyggelse som højeste prioritet. Planen </w:t>
      </w:r>
      <w:r w:rsidR="000A48EA">
        <w:t xml:space="preserve">skal </w:t>
      </w:r>
      <w:r w:rsidRPr="005C6EE6">
        <w:t>s</w:t>
      </w:r>
      <w:r w:rsidR="00B05E75">
        <w:t>åledes</w:t>
      </w:r>
      <w:r w:rsidRPr="005C6EE6">
        <w:t xml:space="preserve"> tilskynde til at så stor en andel af affaldsdannelsen som muligt forebygges.</w:t>
      </w:r>
    </w:p>
    <w:p w14:paraId="6FAD85BE" w14:textId="77777777" w:rsidR="005C6EE6" w:rsidRPr="005C6EE6" w:rsidRDefault="005C6EE6" w:rsidP="005C6EE6">
      <w:r w:rsidRPr="005C6EE6">
        <w:t>Hertil kommer, at den nationale affaldshåndteringsplan rummer en række målsætninger på forebyggelsesområdet, hvoraf en del falder naturligt ind under det kommunale virke.</w:t>
      </w:r>
    </w:p>
    <w:bookmarkEnd w:id="187"/>
    <w:p w14:paraId="3A17FDE5" w14:textId="77777777" w:rsidR="005768FB" w:rsidRDefault="005768FB" w:rsidP="00E20E27">
      <w:pPr>
        <w:spacing w:after="0"/>
        <w:rPr>
          <w:i/>
          <w:iCs/>
        </w:rPr>
      </w:pPr>
    </w:p>
    <w:p w14:paraId="2D6FA957" w14:textId="28AAC36D" w:rsidR="000A48EA" w:rsidRPr="000A48EA" w:rsidRDefault="000A48EA" w:rsidP="00E20E27">
      <w:pPr>
        <w:spacing w:after="0"/>
        <w:rPr>
          <w:i/>
          <w:iCs/>
        </w:rPr>
      </w:pPr>
      <w:r w:rsidRPr="000A48EA">
        <w:rPr>
          <w:i/>
          <w:iCs/>
        </w:rPr>
        <w:t>Planer, strategier og politikker</w:t>
      </w:r>
    </w:p>
    <w:p w14:paraId="07519B01" w14:textId="0A139CB6" w:rsidR="00700714" w:rsidRDefault="00B05E75" w:rsidP="00E20E27">
      <w:pPr>
        <w:spacing w:after="0"/>
      </w:pPr>
      <w:r>
        <w:t>Vordingborg Kommune arbejder med en række tiltag indenfor affaldsforebyggelse. Dette gælder særligt i den plan for grøn omstilling i kommune</w:t>
      </w:r>
      <w:r w:rsidR="00700714">
        <w:t>n, der har været arbejdet med siden 2018,</w:t>
      </w:r>
      <w:r w:rsidR="009040B5">
        <w:t xml:space="preserve"> og hvor kommunen arbejder med konkrete indsatsområdet fordelt på FN´s verdensmål. Derudover er en række </w:t>
      </w:r>
      <w:r w:rsidR="00CB5690">
        <w:t>affaldsforebyggelses</w:t>
      </w:r>
      <w:r w:rsidR="009040B5">
        <w:t>tiltag knyttet til</w:t>
      </w:r>
      <w:r w:rsidR="00700714">
        <w:t xml:space="preserve"> </w:t>
      </w:r>
      <w:r w:rsidR="009040B5">
        <w:t xml:space="preserve">kommunens </w:t>
      </w:r>
      <w:r w:rsidR="00CB5690">
        <w:t>indkøbspolitik</w:t>
      </w:r>
      <w:r w:rsidR="00700714">
        <w:t xml:space="preserve">. </w:t>
      </w:r>
    </w:p>
    <w:p w14:paraId="7D331362" w14:textId="4176DD97" w:rsidR="00700714" w:rsidRDefault="000A48EA" w:rsidP="005C6EE6">
      <w:r>
        <w:t>Kommunen</w:t>
      </w:r>
      <w:r w:rsidR="009040B5">
        <w:t xml:space="preserve"> arbejder bl.a. med </w:t>
      </w:r>
      <w:r w:rsidR="00C61D4B">
        <w:t xml:space="preserve">forebyggelsesinitiativer indenfor </w:t>
      </w:r>
      <w:r w:rsidR="009040B5">
        <w:t xml:space="preserve">følgende </w:t>
      </w:r>
      <w:r w:rsidR="00C61D4B">
        <w:t>strategier</w:t>
      </w:r>
      <w:r w:rsidR="009040B5">
        <w:t>:</w:t>
      </w:r>
    </w:p>
    <w:p w14:paraId="0DBBA911" w14:textId="239BB94D" w:rsidR="009040B5" w:rsidRDefault="008655AA" w:rsidP="009040B5">
      <w:pPr>
        <w:pStyle w:val="Listeafsnit"/>
        <w:numPr>
          <w:ilvl w:val="0"/>
          <w:numId w:val="21"/>
        </w:numPr>
        <w:rPr>
          <w:rFonts w:ascii="Arial" w:hAnsi="Arial" w:cs="Arial"/>
        </w:rPr>
      </w:pPr>
      <w:r>
        <w:rPr>
          <w:rFonts w:ascii="Arial" w:hAnsi="Arial" w:cs="Arial"/>
        </w:rPr>
        <w:t>Den kommunale indkøbspolitik,</w:t>
      </w:r>
      <w:r w:rsidR="00AD1049">
        <w:rPr>
          <w:rFonts w:ascii="Arial" w:hAnsi="Arial" w:cs="Arial"/>
        </w:rPr>
        <w:t xml:space="preserve"> hvor</w:t>
      </w:r>
      <w:r w:rsidR="00AD1049" w:rsidRPr="00AD1049">
        <w:rPr>
          <w:rFonts w:ascii="Arial" w:hAnsi="Arial" w:cs="Arial"/>
        </w:rPr>
        <w:t xml:space="preserve"> bæredygtighed og grøn omstilling</w:t>
      </w:r>
      <w:r w:rsidR="00AD1049">
        <w:rPr>
          <w:rFonts w:ascii="Arial" w:hAnsi="Arial" w:cs="Arial"/>
        </w:rPr>
        <w:t xml:space="preserve"> søges indarbejdet</w:t>
      </w:r>
      <w:r w:rsidR="00AD1049" w:rsidRPr="00AD1049">
        <w:rPr>
          <w:rFonts w:ascii="Arial" w:hAnsi="Arial" w:cs="Arial"/>
        </w:rPr>
        <w:t xml:space="preserve">, i videst muligt omfang. Af konkrete indsatsområder arbejdes der henimod øget fokus på miljø- og klimakrav i </w:t>
      </w:r>
      <w:r w:rsidR="00AD1049">
        <w:rPr>
          <w:rFonts w:ascii="Arial" w:hAnsi="Arial" w:cs="Arial"/>
        </w:rPr>
        <w:t>de</w:t>
      </w:r>
      <w:r w:rsidR="00AD1049" w:rsidRPr="00AD1049">
        <w:rPr>
          <w:rFonts w:ascii="Arial" w:hAnsi="Arial" w:cs="Arial"/>
        </w:rPr>
        <w:t xml:space="preserve"> fremtidige indkøb og udbudsforretninger, ligesom der også arbejdes med det cirkulære indkøb og TCO</w:t>
      </w:r>
      <w:r w:rsidR="000A48EA">
        <w:rPr>
          <w:rFonts w:ascii="Arial" w:hAnsi="Arial" w:cs="Arial"/>
        </w:rPr>
        <w:t xml:space="preserve"> (Total Cost of Ownership)</w:t>
      </w:r>
      <w:r w:rsidR="00AD1049" w:rsidRPr="00AD1049">
        <w:rPr>
          <w:rFonts w:ascii="Arial" w:hAnsi="Arial" w:cs="Arial"/>
        </w:rPr>
        <w:t>, hvor hele produktets livscyklus afdækkes, herunder bortskaffelse og mulighed for genanvendelse</w:t>
      </w:r>
      <w:r w:rsidR="007D6441">
        <w:rPr>
          <w:rFonts w:ascii="Arial" w:hAnsi="Arial" w:cs="Arial"/>
        </w:rPr>
        <w:t xml:space="preserve">. </w:t>
      </w:r>
    </w:p>
    <w:p w14:paraId="40381667" w14:textId="6EC2EB03" w:rsidR="009040B5" w:rsidRDefault="009040B5" w:rsidP="009040B5">
      <w:pPr>
        <w:pStyle w:val="Listeafsnit"/>
        <w:numPr>
          <w:ilvl w:val="0"/>
          <w:numId w:val="21"/>
        </w:numPr>
        <w:rPr>
          <w:rFonts w:ascii="Arial" w:hAnsi="Arial" w:cs="Arial"/>
        </w:rPr>
      </w:pPr>
      <w:r>
        <w:rPr>
          <w:rFonts w:ascii="Arial" w:hAnsi="Arial" w:cs="Arial"/>
        </w:rPr>
        <w:t>Møn Biosfære</w:t>
      </w:r>
      <w:r w:rsidR="00BA6C4E">
        <w:rPr>
          <w:rFonts w:ascii="Arial" w:hAnsi="Arial" w:cs="Arial"/>
        </w:rPr>
        <w:t xml:space="preserve">, hvor kommunen er medvirkende i bl.a. arbejdet med reduktion af plastposer, alternativ genanvendelse af ålegræs som byggemateriale samt kampagnen ”hold Møn rent”. </w:t>
      </w:r>
    </w:p>
    <w:p w14:paraId="1E516045" w14:textId="35164C9D" w:rsidR="00C61D4B" w:rsidRPr="003B741D" w:rsidRDefault="00C61D4B" w:rsidP="005C6EE6">
      <w:pPr>
        <w:pStyle w:val="Listeafsnit"/>
        <w:numPr>
          <w:ilvl w:val="0"/>
          <w:numId w:val="21"/>
        </w:numPr>
        <w:rPr>
          <w:rFonts w:ascii="Arial" w:hAnsi="Arial" w:cs="Arial"/>
        </w:rPr>
      </w:pPr>
      <w:r>
        <w:rPr>
          <w:rFonts w:ascii="Arial" w:hAnsi="Arial" w:cs="Arial"/>
        </w:rPr>
        <w:t>Bæredygtig turisme</w:t>
      </w:r>
      <w:r w:rsidR="00BA6C4E">
        <w:rPr>
          <w:rFonts w:ascii="Arial" w:hAnsi="Arial" w:cs="Arial"/>
        </w:rPr>
        <w:t xml:space="preserve">, hvor kommunen er i gang med at udarbejde en strategi for bæredygtig turisme i hele kommunen og en handleplan for Møn som modelområde for bæredygtig turismeudvikling. </w:t>
      </w:r>
    </w:p>
    <w:p w14:paraId="51C794AD" w14:textId="709FA163" w:rsidR="005768FB" w:rsidRDefault="005768FB" w:rsidP="00E20E27">
      <w:pPr>
        <w:spacing w:after="0"/>
      </w:pPr>
    </w:p>
    <w:p w14:paraId="36FF4C6D" w14:textId="76A164F3" w:rsidR="005768FB" w:rsidRPr="005768FB" w:rsidRDefault="005768FB" w:rsidP="00E20E27">
      <w:pPr>
        <w:spacing w:after="0"/>
        <w:rPr>
          <w:i/>
          <w:iCs/>
        </w:rPr>
      </w:pPr>
      <w:r w:rsidRPr="005768FB">
        <w:rPr>
          <w:i/>
          <w:iCs/>
        </w:rPr>
        <w:t>Sagsbehandling og indkøb på affaldsområdet</w:t>
      </w:r>
    </w:p>
    <w:p w14:paraId="5E943C2E" w14:textId="19154882" w:rsidR="00120EE5" w:rsidRDefault="00120EE5" w:rsidP="00E20E27">
      <w:pPr>
        <w:spacing w:after="0"/>
      </w:pPr>
      <w:r>
        <w:t>Indenfor affaldsområde</w:t>
      </w:r>
      <w:r w:rsidR="005768FB">
        <w:t>t</w:t>
      </w:r>
      <w:r>
        <w:t xml:space="preserve"> arbejder </w:t>
      </w:r>
      <w:r w:rsidR="00CB5690">
        <w:t>kommunen særligt med</w:t>
      </w:r>
      <w:r>
        <w:t xml:space="preserve"> affaldsforebyggelse </w:t>
      </w:r>
      <w:r w:rsidR="00CB5690">
        <w:t xml:space="preserve">i forbindelse med </w:t>
      </w:r>
      <w:r>
        <w:t>indkøb</w:t>
      </w:r>
      <w:r w:rsidR="00CB5690">
        <w:t xml:space="preserve"> og anvendelse af affaldsmateriel</w:t>
      </w:r>
      <w:r>
        <w:t xml:space="preserve">. Det gælder ved indkøb af affaldsbeholdere, hvor vi dels sørger for </w:t>
      </w:r>
      <w:r w:rsidR="00C02DD0">
        <w:t xml:space="preserve">at procentdelen af genanvendt plast i nye beholdere er så høj som muligt, men også </w:t>
      </w:r>
      <w:r w:rsidR="00CB5690">
        <w:t xml:space="preserve">samtidig </w:t>
      </w:r>
      <w:r w:rsidR="00C02DD0">
        <w:t>sikre</w:t>
      </w:r>
      <w:r w:rsidR="005768FB">
        <w:t>r</w:t>
      </w:r>
      <w:r w:rsidR="00C02DD0">
        <w:t xml:space="preserve"> </w:t>
      </w:r>
      <w:r w:rsidR="00CB5690">
        <w:t>at de</w:t>
      </w:r>
      <w:r w:rsidR="00C02DD0">
        <w:t xml:space="preserve"> beholdere vi indkøber nemt </w:t>
      </w:r>
      <w:r w:rsidR="00CB5690">
        <w:t xml:space="preserve">kan </w:t>
      </w:r>
      <w:r w:rsidR="00C02DD0">
        <w:t>demonteres og genanvendes i ny plast- og metalproduktion</w:t>
      </w:r>
      <w:r w:rsidR="00CB5690">
        <w:t xml:space="preserve"> ved endt brug</w:t>
      </w:r>
      <w:r w:rsidR="00C02DD0">
        <w:t xml:space="preserve">. I udbud af affaldsbeholdere er procentdelen af genanvendeligt plast i 240 l. beholdere </w:t>
      </w:r>
      <w:r w:rsidR="00E04994">
        <w:t>f</w:t>
      </w:r>
      <w:r w:rsidR="00C1019C">
        <w:t>x</w:t>
      </w:r>
      <w:r w:rsidR="00C02DD0">
        <w:t xml:space="preserve"> </w:t>
      </w:r>
      <w:r w:rsidR="00CB5690">
        <w:t xml:space="preserve">fastsat til minimum </w:t>
      </w:r>
      <w:r w:rsidR="008655AA">
        <w:t>80</w:t>
      </w:r>
      <w:r w:rsidR="00C02DD0">
        <w:t xml:space="preserve"> procent.</w:t>
      </w:r>
    </w:p>
    <w:p w14:paraId="29F0E0D3" w14:textId="716B795B" w:rsidR="00C02DD0" w:rsidRDefault="00C02DD0" w:rsidP="005C6EE6">
      <w:r>
        <w:t xml:space="preserve">Ved indkøb af poser til madaffald </w:t>
      </w:r>
      <w:r w:rsidR="00CB5690">
        <w:t>sikres</w:t>
      </w:r>
      <w:r w:rsidR="00C1019C">
        <w:t>,</w:t>
      </w:r>
      <w:r>
        <w:t xml:space="preserve"> at poserne produceres af genanvendt plast og at posetykkelsen er</w:t>
      </w:r>
      <w:r w:rsidR="005768FB">
        <w:t xml:space="preserve"> optimeret, dvs.</w:t>
      </w:r>
      <w:r>
        <w:t xml:space="preserve"> så lav som muligt</w:t>
      </w:r>
      <w:r w:rsidR="00CB5690">
        <w:t>,</w:t>
      </w:r>
      <w:r>
        <w:t xml:space="preserve"> uden at der går hul på poserne ved anvendelse. </w:t>
      </w:r>
    </w:p>
    <w:p w14:paraId="1A49C345" w14:textId="10DDD57E" w:rsidR="00C02DD0" w:rsidRDefault="00C02DD0" w:rsidP="005C6EE6">
      <w:r>
        <w:t xml:space="preserve">Begge tiltag sikrer </w:t>
      </w:r>
      <w:r w:rsidR="00C1019C">
        <w:t>mindst mulige</w:t>
      </w:r>
      <w:r>
        <w:t xml:space="preserve"> ressourcetræk og </w:t>
      </w:r>
      <w:r w:rsidR="005768FB">
        <w:t xml:space="preserve">en </w:t>
      </w:r>
      <w:r>
        <w:t xml:space="preserve">så høj </w:t>
      </w:r>
      <w:r w:rsidR="00C1019C">
        <w:t xml:space="preserve">grad af </w:t>
      </w:r>
      <w:r>
        <w:t>genanvendelse som muligt</w:t>
      </w:r>
      <w:r w:rsidR="00C1019C">
        <w:t>,</w:t>
      </w:r>
      <w:r>
        <w:t xml:space="preserve"> uden at</w:t>
      </w:r>
      <w:r w:rsidR="00CB5690">
        <w:t xml:space="preserve"> gå</w:t>
      </w:r>
      <w:r>
        <w:t xml:space="preserve"> på kompromis med kvaliteten.</w:t>
      </w:r>
    </w:p>
    <w:p w14:paraId="3DC0E15B" w14:textId="2AFAFA13" w:rsidR="008C23F5" w:rsidRDefault="00C02DD0" w:rsidP="00CB5690">
      <w:r>
        <w:t xml:space="preserve">Ved sagsbehandling </w:t>
      </w:r>
      <w:r w:rsidR="00CB5690">
        <w:t>på</w:t>
      </w:r>
      <w:r>
        <w:t xml:space="preserve"> bygge</w:t>
      </w:r>
      <w:r w:rsidR="00CB5690">
        <w:t>-</w:t>
      </w:r>
      <w:r>
        <w:t xml:space="preserve"> og anlægsaffald</w:t>
      </w:r>
      <w:r w:rsidR="00CB5690">
        <w:t>sområdet arbejdes der løbende med at sikre, at affaldet følger affaldshierarkiet</w:t>
      </w:r>
      <w:r w:rsidR="00C1019C">
        <w:t>,</w:t>
      </w:r>
      <w:r w:rsidR="00CB5690">
        <w:t xml:space="preserve"> og dermed</w:t>
      </w:r>
      <w:r>
        <w:t xml:space="preserve"> </w:t>
      </w:r>
      <w:r w:rsidR="00CB5690">
        <w:t xml:space="preserve">i højst mulig grad genanvendes og erstatter anvendelse af jomfruelige bygge- og anlægsmaterialer. </w:t>
      </w:r>
    </w:p>
    <w:p w14:paraId="23084C29" w14:textId="51B3358C" w:rsidR="008655AA" w:rsidRDefault="008655AA" w:rsidP="00CB5690">
      <w:r>
        <w:t xml:space="preserve">Affaldsforebyggelse ved indkøb, anvendelse og sagsbehandling vil også i den kommende </w:t>
      </w:r>
      <w:r w:rsidR="005768FB">
        <w:t>affalds</w:t>
      </w:r>
      <w:r>
        <w:t xml:space="preserve">planperiode blive indtænkt i de beslutninger, der tages på området. </w:t>
      </w:r>
    </w:p>
    <w:p w14:paraId="631A1AF1" w14:textId="77777777" w:rsidR="00E20E27" w:rsidRDefault="00E20E27" w:rsidP="00E20E27">
      <w:pPr>
        <w:spacing w:after="0"/>
      </w:pPr>
    </w:p>
    <w:p w14:paraId="4D412633" w14:textId="77777777" w:rsidR="009D5E07" w:rsidRDefault="009D5E07" w:rsidP="00E20E27">
      <w:pPr>
        <w:spacing w:after="0"/>
        <w:rPr>
          <w:i/>
          <w:iCs/>
        </w:rPr>
      </w:pPr>
      <w:bookmarkStart w:id="188" w:name="_Hlk80779255"/>
    </w:p>
    <w:p w14:paraId="15C3775A" w14:textId="77777777" w:rsidR="009D5E07" w:rsidRDefault="009D5E07" w:rsidP="00E20E27">
      <w:pPr>
        <w:spacing w:after="0"/>
        <w:rPr>
          <w:i/>
          <w:iCs/>
        </w:rPr>
      </w:pPr>
    </w:p>
    <w:p w14:paraId="4256D1D2" w14:textId="5763410D" w:rsidR="005C6EE6" w:rsidRPr="005768FB" w:rsidRDefault="005768FB" w:rsidP="00E20E27">
      <w:pPr>
        <w:spacing w:after="0"/>
        <w:rPr>
          <w:i/>
          <w:iCs/>
        </w:rPr>
      </w:pPr>
      <w:r w:rsidRPr="005768FB">
        <w:rPr>
          <w:i/>
          <w:iCs/>
        </w:rPr>
        <w:lastRenderedPageBreak/>
        <w:t>Bygge- og anlægsområdet</w:t>
      </w:r>
    </w:p>
    <w:p w14:paraId="17BC3132" w14:textId="03239C2A" w:rsidR="005C6EE6" w:rsidRPr="007C0A12" w:rsidRDefault="005768FB" w:rsidP="00E20E27">
      <w:pPr>
        <w:spacing w:after="0"/>
      </w:pPr>
      <w:r>
        <w:t>I</w:t>
      </w:r>
      <w:r w:rsidR="005C6EE6" w:rsidRPr="007C0A12">
        <w:t xml:space="preserve"> udviklingen af sin bygge- og anlægspolitik vil </w:t>
      </w:r>
      <w:r>
        <w:t xml:space="preserve">kommunen </w:t>
      </w:r>
      <w:r w:rsidR="005C6EE6" w:rsidRPr="007C0A12">
        <w:t xml:space="preserve">lade sig inspirere af ideen om at genanvendelige materialer vil kunne indgå i et stigende omfang, således at kommunen gennem sin efterspørgsel </w:t>
      </w:r>
      <w:r>
        <w:t xml:space="preserve">vil </w:t>
      </w:r>
      <w:r w:rsidR="005C6EE6" w:rsidRPr="007C0A12">
        <w:t>kunne bidrage til etablering af det markedstræk, som vil være en forudsætning for igangsætning og stimulering af den cirkulære økonomi.</w:t>
      </w:r>
    </w:p>
    <w:p w14:paraId="29B7FEB7" w14:textId="77777777" w:rsidR="005C6EE6" w:rsidRPr="007C0A12" w:rsidRDefault="005C6EE6" w:rsidP="005C6EE6">
      <w:r w:rsidRPr="007C0A12">
        <w:t>Særligt på bygge- og anlægsområdet vil det have en stor affaldsforebyggende effekt, især når henses til den høje materialeintensitet, der kendetegner bygge- og anlægssektoren.</w:t>
      </w:r>
    </w:p>
    <w:p w14:paraId="12B38B20" w14:textId="77777777" w:rsidR="005C6EE6" w:rsidRPr="007C0A12" w:rsidRDefault="005C6EE6" w:rsidP="005C6EE6">
      <w:r w:rsidRPr="007C0A12">
        <w:t>Kommunen vil således i særlig grad følge og lade sig inspirere af følgende tiltag i den nationale affaldshåndteringsplan, der er rettet mod målsætningen om at reducere miljøbelastningen fra byggeri og nedrivning:</w:t>
      </w:r>
    </w:p>
    <w:p w14:paraId="0CECF989" w14:textId="77777777" w:rsidR="005C6EE6" w:rsidRPr="007C0A12" w:rsidRDefault="005C6EE6" w:rsidP="005C6EE6">
      <w:pPr>
        <w:pStyle w:val="Listeafsnit"/>
        <w:numPr>
          <w:ilvl w:val="0"/>
          <w:numId w:val="12"/>
        </w:numPr>
        <w:rPr>
          <w:rFonts w:ascii="Arial" w:hAnsi="Arial" w:cs="Arial"/>
        </w:rPr>
      </w:pPr>
      <w:r w:rsidRPr="007C0A12">
        <w:rPr>
          <w:rFonts w:ascii="Arial" w:hAnsi="Arial" w:cs="Arial"/>
        </w:rPr>
        <w:t>Strategi for bæredygtigt byggeri.</w:t>
      </w:r>
    </w:p>
    <w:p w14:paraId="05FC0E00" w14:textId="2453993B" w:rsidR="005B4D03" w:rsidRPr="00236EE4" w:rsidRDefault="005B4D03" w:rsidP="005B4D03">
      <w:pPr>
        <w:pStyle w:val="Listeafsnit"/>
        <w:numPr>
          <w:ilvl w:val="0"/>
          <w:numId w:val="12"/>
        </w:numPr>
        <w:rPr>
          <w:rFonts w:ascii="Arial" w:hAnsi="Arial" w:cs="Arial"/>
        </w:rPr>
      </w:pPr>
      <w:r w:rsidRPr="00236EE4">
        <w:rPr>
          <w:rFonts w:ascii="Arial" w:hAnsi="Arial" w:cs="Arial"/>
        </w:rPr>
        <w:t>Regulering med afsæt i den frivillige bæredygtighedsklasse (byggeri).</w:t>
      </w:r>
    </w:p>
    <w:p w14:paraId="1B9165BE" w14:textId="77777777" w:rsidR="005C6EE6" w:rsidRPr="007C0A12" w:rsidRDefault="005C6EE6" w:rsidP="005C6EE6">
      <w:pPr>
        <w:pStyle w:val="Listeafsnit"/>
        <w:numPr>
          <w:ilvl w:val="0"/>
          <w:numId w:val="12"/>
        </w:numPr>
        <w:rPr>
          <w:rFonts w:ascii="Arial" w:hAnsi="Arial" w:cs="Arial"/>
        </w:rPr>
      </w:pPr>
      <w:r w:rsidRPr="007C0A12">
        <w:rPr>
          <w:rFonts w:ascii="Arial" w:hAnsi="Arial" w:cs="Arial"/>
        </w:rPr>
        <w:t xml:space="preserve">Udarbejdelse af modeller for et standardiseret bygningspas. </w:t>
      </w:r>
    </w:p>
    <w:p w14:paraId="33F8E66B" w14:textId="77777777" w:rsidR="005C6EE6" w:rsidRPr="007C0A12" w:rsidRDefault="005C6EE6" w:rsidP="005C6EE6">
      <w:pPr>
        <w:pStyle w:val="Listeafsnit"/>
        <w:numPr>
          <w:ilvl w:val="0"/>
          <w:numId w:val="12"/>
        </w:numPr>
        <w:rPr>
          <w:rFonts w:ascii="Arial" w:hAnsi="Arial" w:cs="Arial"/>
        </w:rPr>
      </w:pPr>
      <w:r w:rsidRPr="007C0A12">
        <w:rPr>
          <w:rFonts w:ascii="Arial" w:hAnsi="Arial" w:cs="Arial"/>
        </w:rPr>
        <w:t>Langsigtet renoveringsstrategi.</w:t>
      </w:r>
    </w:p>
    <w:p w14:paraId="6EAC59C8" w14:textId="77777777" w:rsidR="005C6EE6" w:rsidRPr="007C0A12" w:rsidRDefault="005C6EE6" w:rsidP="005C6EE6">
      <w:pPr>
        <w:pStyle w:val="Listeafsnit"/>
        <w:numPr>
          <w:ilvl w:val="0"/>
          <w:numId w:val="12"/>
        </w:numPr>
        <w:rPr>
          <w:rFonts w:ascii="Arial" w:hAnsi="Arial" w:cs="Arial"/>
        </w:rPr>
      </w:pPr>
      <w:r w:rsidRPr="007C0A12">
        <w:rPr>
          <w:rFonts w:ascii="Arial" w:hAnsi="Arial" w:cs="Arial"/>
        </w:rPr>
        <w:t>Digital understøttelse af energirenoveringsindsatsen.</w:t>
      </w:r>
    </w:p>
    <w:p w14:paraId="600ED73A" w14:textId="77777777" w:rsidR="005C6EE6" w:rsidRPr="007C0A12" w:rsidRDefault="005C6EE6" w:rsidP="005C6EE6">
      <w:pPr>
        <w:pStyle w:val="Listeafsnit"/>
        <w:numPr>
          <w:ilvl w:val="0"/>
          <w:numId w:val="12"/>
        </w:numPr>
        <w:rPr>
          <w:rFonts w:ascii="Arial" w:hAnsi="Arial" w:cs="Arial"/>
        </w:rPr>
      </w:pPr>
      <w:r w:rsidRPr="007C0A12">
        <w:rPr>
          <w:rFonts w:ascii="Arial" w:hAnsi="Arial" w:cs="Arial"/>
        </w:rPr>
        <w:t xml:space="preserve">Fastsættelse af nationale grænseværdier for problematiske stoffer i beton og tegl. </w:t>
      </w:r>
    </w:p>
    <w:p w14:paraId="3463C11C" w14:textId="77777777" w:rsidR="005C6EE6" w:rsidRPr="007C0A12" w:rsidRDefault="005C6EE6" w:rsidP="005C6EE6">
      <w:pPr>
        <w:pStyle w:val="Listeafsnit"/>
        <w:numPr>
          <w:ilvl w:val="0"/>
          <w:numId w:val="12"/>
        </w:numPr>
        <w:rPr>
          <w:rFonts w:ascii="Arial" w:hAnsi="Arial" w:cs="Arial"/>
        </w:rPr>
      </w:pPr>
      <w:r w:rsidRPr="007C0A12">
        <w:rPr>
          <w:rFonts w:ascii="Arial" w:hAnsi="Arial" w:cs="Arial"/>
        </w:rPr>
        <w:t>Krav om sortering af asfalt, samt opdateret asfaltcirkulære.</w:t>
      </w:r>
    </w:p>
    <w:bookmarkEnd w:id="188"/>
    <w:p w14:paraId="3D3DFC20" w14:textId="77777777" w:rsidR="005C6EE6" w:rsidRPr="005C6EE6" w:rsidRDefault="005C6EE6" w:rsidP="005C6EE6"/>
    <w:p w14:paraId="0DFE3AC2" w14:textId="57CAE9F8" w:rsidR="005C6EE6" w:rsidRDefault="005768FB" w:rsidP="00E20E27">
      <w:pPr>
        <w:spacing w:after="0"/>
        <w:rPr>
          <w:i/>
          <w:iCs/>
        </w:rPr>
      </w:pPr>
      <w:r w:rsidRPr="005768FB">
        <w:rPr>
          <w:i/>
          <w:iCs/>
        </w:rPr>
        <w:t>Yder</w:t>
      </w:r>
      <w:r>
        <w:rPr>
          <w:i/>
          <w:iCs/>
        </w:rPr>
        <w:t>Z</w:t>
      </w:r>
      <w:r w:rsidRPr="005768FB">
        <w:rPr>
          <w:i/>
          <w:iCs/>
        </w:rPr>
        <w:t>onen</w:t>
      </w:r>
    </w:p>
    <w:p w14:paraId="208C3A14" w14:textId="65A4B4C9" w:rsidR="005768FB" w:rsidRPr="005768FB" w:rsidRDefault="005768FB" w:rsidP="00E20E27">
      <w:pPr>
        <w:spacing w:after="0"/>
      </w:pPr>
      <w:r w:rsidRPr="005768FB">
        <w:t>Gennem kommunens medejerskab af det fælleskommunale affaldsselskab, AffaldPlus, drives formidlingscenteret YderZonen</w:t>
      </w:r>
      <w:r>
        <w:t xml:space="preserve">. </w:t>
      </w:r>
      <w:r w:rsidR="00654B76">
        <w:t xml:space="preserve">Hvert år undervises og inspireres mere end 6.000 elever fra det syd- og vestsjællandske område i bæredygtig udnyttelse af jordens ressourcer. Omdrejningspunktet er hvordan menneskelig kreativitet og naturvidenskab kan forenes i intelligent ressourceudnyttelse. Elever får den nyeste viden indenfor bl.a. affald, genbrug, ressourcer og energi og bidrager til deres egen forståelse og syn på vigtigheden af affaldsforebyggelse og ressourceudnyttelse. </w:t>
      </w:r>
    </w:p>
    <w:p w14:paraId="78427153" w14:textId="77777777" w:rsidR="005768FB" w:rsidRPr="005C6EE6" w:rsidRDefault="005768FB" w:rsidP="005C6EE6"/>
    <w:p w14:paraId="6D20E3DD" w14:textId="77777777" w:rsidR="005C6EE6" w:rsidRPr="005C6EE6" w:rsidRDefault="005C6EE6" w:rsidP="005C6EE6"/>
    <w:p w14:paraId="21D288C0" w14:textId="77777777" w:rsidR="005C6EE6" w:rsidRPr="005C6EE6" w:rsidRDefault="005C6EE6" w:rsidP="005C6EE6">
      <w:bookmarkStart w:id="189" w:name="_Toc65581893"/>
    </w:p>
    <w:p w14:paraId="44079858" w14:textId="77777777" w:rsidR="003B741D" w:rsidRDefault="003B741D">
      <w:pPr>
        <w:suppressAutoHyphens w:val="0"/>
        <w:autoSpaceDN/>
        <w:spacing w:after="200" w:line="276" w:lineRule="auto"/>
        <w:textAlignment w:val="auto"/>
        <w:rPr>
          <w:rFonts w:ascii="Verdana" w:eastAsiaTheme="majorEastAsia" w:hAnsi="Verdana" w:cstheme="majorBidi"/>
          <w:b/>
          <w:bCs/>
          <w:caps/>
          <w:sz w:val="40"/>
          <w:szCs w:val="28"/>
        </w:rPr>
      </w:pPr>
      <w:bookmarkStart w:id="190" w:name="_Toc65685145"/>
      <w:bookmarkStart w:id="191" w:name="_Toc66217093"/>
      <w:bookmarkStart w:id="192" w:name="_Toc68083500"/>
      <w:bookmarkStart w:id="193" w:name="_Toc68090433"/>
      <w:bookmarkStart w:id="194" w:name="_Toc68530404"/>
      <w:bookmarkStart w:id="195" w:name="_Toc68582135"/>
      <w:bookmarkStart w:id="196" w:name="_Toc68611316"/>
      <w:bookmarkStart w:id="197" w:name="_Toc69216632"/>
      <w:bookmarkStart w:id="198" w:name="_Toc70950926"/>
      <w:bookmarkStart w:id="199" w:name="_Toc76126056"/>
      <w:r>
        <w:br w:type="page"/>
      </w:r>
    </w:p>
    <w:p w14:paraId="24D50425" w14:textId="017015F9" w:rsidR="005C6EE6" w:rsidRPr="005C6EE6" w:rsidRDefault="006C7D9B" w:rsidP="006C7D9B">
      <w:pPr>
        <w:pStyle w:val="Overskrift1"/>
      </w:pPr>
      <w:bookmarkStart w:id="200" w:name="_Toc85189848"/>
      <w:r>
        <w:lastRenderedPageBreak/>
        <w:t>P</w:t>
      </w:r>
      <w:r w:rsidR="005C6EE6" w:rsidRPr="005C6EE6">
        <w:t>lanlægningsdel</w:t>
      </w:r>
      <w:bookmarkEnd w:id="189"/>
      <w:bookmarkEnd w:id="190"/>
      <w:bookmarkEnd w:id="191"/>
      <w:bookmarkEnd w:id="192"/>
      <w:bookmarkEnd w:id="193"/>
      <w:bookmarkEnd w:id="194"/>
      <w:bookmarkEnd w:id="195"/>
      <w:bookmarkEnd w:id="196"/>
      <w:bookmarkEnd w:id="197"/>
      <w:bookmarkEnd w:id="198"/>
      <w:bookmarkEnd w:id="199"/>
      <w:bookmarkEnd w:id="200"/>
    </w:p>
    <w:p w14:paraId="1B0CC37B" w14:textId="77777777" w:rsidR="005C6EE6" w:rsidRPr="005C6EE6" w:rsidRDefault="005C6EE6" w:rsidP="005C6EE6">
      <w:r w:rsidRPr="005C6EE6">
        <w:t>Efter affaldsbekendtgørelsens § 16 skal affaldsplanens planlægningsdel indeholde en redegørelse for:</w:t>
      </w:r>
    </w:p>
    <w:p w14:paraId="53B3F676" w14:textId="77777777" w:rsidR="005C6EE6" w:rsidRPr="005C6EE6" w:rsidRDefault="005C6EE6" w:rsidP="005C6EE6">
      <w:r w:rsidRPr="005C6EE6">
        <w:t>1) Skønnet over de fremtidige affaldsmængder i kommunen, bortset fra erhvervsaffald egnet til materialenyttiggørelse. Redegørelsen skal dog indeholde et skøn over de fremtidige affaldsmængder til materialenyttiggørelse fra kommunens institutioner og virksomheder samt over erhvervsaffald til materialenyttiggørelse afleveret på genbrugspladser i kommunen af virksomheder.</w:t>
      </w:r>
    </w:p>
    <w:p w14:paraId="3A02F039" w14:textId="77777777" w:rsidR="005C6EE6" w:rsidRPr="005C6EE6" w:rsidRDefault="005C6EE6" w:rsidP="005C6EE6">
      <w:r w:rsidRPr="005C6EE6">
        <w:t>2) En vurdering af behovet for nye indsamlingsordninger.</w:t>
      </w:r>
    </w:p>
    <w:p w14:paraId="1DC68F01" w14:textId="77777777" w:rsidR="005C6EE6" w:rsidRPr="005C6EE6" w:rsidRDefault="005C6EE6" w:rsidP="005C6EE6">
      <w:r w:rsidRPr="005C6EE6">
        <w:t>3) En beskrivelse af den forventede fremtidige håndtering af det affald, som kommunalbestyrelsen indsamler eller anviser til behandling.</w:t>
      </w:r>
    </w:p>
    <w:p w14:paraId="6568DA19" w14:textId="77777777" w:rsidR="005C6EE6" w:rsidRPr="005C6EE6" w:rsidRDefault="005C6EE6" w:rsidP="005C6EE6">
      <w:r w:rsidRPr="005C6EE6">
        <w:t>4) Hvilke behandlingsanlæg, der planlægges anvendt til håndtering af det affald, som kommunalbestyrelsen indsamler, samt hvor store mængder affald, der forventes tilført de enkelte anlæg.</w:t>
      </w:r>
    </w:p>
    <w:p w14:paraId="0283EEE4" w14:textId="77777777" w:rsidR="005C6EE6" w:rsidRPr="005C6EE6" w:rsidRDefault="005C6EE6" w:rsidP="005C6EE6">
      <w:r w:rsidRPr="005C6EE6">
        <w:t>5) Deponerings- og forbrændingskapacitet, herunder behovet for etablering af yderligere kapacitet på baggrund af de forventede tilførte mængder af affald sammenholdt med de anvendte anlægs kapacitet og levetid.</w:t>
      </w:r>
    </w:p>
    <w:p w14:paraId="1A705355" w14:textId="77777777" w:rsidR="005C6EE6" w:rsidRPr="005C6EE6" w:rsidRDefault="005C6EE6" w:rsidP="005C6EE6">
      <w:r w:rsidRPr="005C6EE6">
        <w:t>6) Planens økonomiske konsekvenser for kommunalbestyrelsens budget og gebyrernes størrelse, jf. bekendtgørelse om affaldsregulativer, -gebyrer og –aktører m.v.</w:t>
      </w:r>
    </w:p>
    <w:p w14:paraId="6239A7B1" w14:textId="77777777" w:rsidR="005C6EE6" w:rsidRPr="005C6EE6" w:rsidRDefault="005C6EE6" w:rsidP="005C6EE6">
      <w:r w:rsidRPr="005C6EE6">
        <w:t>7) Planlagte fremtidige investeringer til renovering, ombygning eller etablering af nye anlæg, som er vedtaget af kommunalbestyrelsen, jf. bekendtgørelse om affaldsregulativer, -gebyrer og –aktører m.v.</w:t>
      </w:r>
    </w:p>
    <w:p w14:paraId="58E30A8A" w14:textId="77777777" w:rsidR="005C6EE6" w:rsidRPr="005C6EE6" w:rsidRDefault="005C6EE6" w:rsidP="005C6EE6">
      <w:r w:rsidRPr="005C6EE6">
        <w:t>8) En vurdering af i hvilket omfang de af planen omfattede foranstaltninger er i overensstemmelse med affaldshierarkiet, jf. § 6 b i lov om miljøbeskyttelse, og bidrager til at forebygge eller mindske de negative følger af affaldshåndteringen.</w:t>
      </w:r>
    </w:p>
    <w:p w14:paraId="191836CA" w14:textId="77777777" w:rsidR="005C6EE6" w:rsidRPr="005C6EE6" w:rsidRDefault="005C6EE6" w:rsidP="005C6EE6">
      <w:r w:rsidRPr="005C6EE6">
        <w:t xml:space="preserve">Redegørelserne om behovet for nye indsamlingsordninger (4.2.), den forventede fremtidige håndtering af det affald, som kommunalbestyrelsen indsamler eller anviser til behandling (4.3.) samt de anlæg, der tænkes anvendt (4.4.), skal være detaljerede for de første 6 år og overordnede for den resterende del af planperioden. Det samme gælder redegørelserne for planens økonomiske konsekvenser (4.6.), de planlagte fremtidige investeringer (4.7.) og vurderingen af, i hvilket omfang de af planen omfattede foranstaltninger er i overensstemmelse med affaldshierarkiet (4.8.). </w:t>
      </w:r>
    </w:p>
    <w:p w14:paraId="50FA9103" w14:textId="726C4C39" w:rsidR="005C6EE6" w:rsidRDefault="005C6EE6" w:rsidP="005C6EE6">
      <w:r w:rsidRPr="005C6EE6">
        <w:t>Skønnet over de fremtidige affaldsmængder (4.1.) samt deponerings- og forbrændingskapaciteten (4.5.) skal være detaljerede for hele planperioden.</w:t>
      </w:r>
    </w:p>
    <w:p w14:paraId="3FB50D5C" w14:textId="77777777" w:rsidR="003B741D" w:rsidRPr="005C6EE6" w:rsidRDefault="003B741D" w:rsidP="005C6EE6"/>
    <w:p w14:paraId="379A11AF" w14:textId="4331ADD0" w:rsidR="005C6EE6" w:rsidRPr="005C6EE6" w:rsidRDefault="005C6EE6" w:rsidP="006C7D9B">
      <w:pPr>
        <w:pStyle w:val="Overskrift2"/>
      </w:pPr>
      <w:bookmarkStart w:id="201" w:name="_Toc65581894"/>
      <w:bookmarkStart w:id="202" w:name="_Toc65685146"/>
      <w:bookmarkStart w:id="203" w:name="_Toc66217094"/>
      <w:bookmarkStart w:id="204" w:name="_Toc68083501"/>
      <w:bookmarkStart w:id="205" w:name="_Toc68090434"/>
      <w:bookmarkStart w:id="206" w:name="_Toc68530405"/>
      <w:bookmarkStart w:id="207" w:name="_Toc68582136"/>
      <w:bookmarkStart w:id="208" w:name="_Toc68611317"/>
      <w:bookmarkStart w:id="209" w:name="_Toc69216633"/>
      <w:bookmarkStart w:id="210" w:name="_Toc70950927"/>
      <w:bookmarkStart w:id="211" w:name="_Toc76126057"/>
      <w:bookmarkStart w:id="212" w:name="_Toc85189849"/>
      <w:r w:rsidRPr="005C6EE6">
        <w:t>Skøn over de fremtidige affaldsmængder i kommunen</w:t>
      </w:r>
      <w:bookmarkEnd w:id="201"/>
      <w:bookmarkEnd w:id="202"/>
      <w:bookmarkEnd w:id="203"/>
      <w:bookmarkEnd w:id="204"/>
      <w:bookmarkEnd w:id="205"/>
      <w:bookmarkEnd w:id="206"/>
      <w:bookmarkEnd w:id="207"/>
      <w:bookmarkEnd w:id="208"/>
      <w:bookmarkEnd w:id="209"/>
      <w:bookmarkEnd w:id="210"/>
      <w:bookmarkEnd w:id="211"/>
      <w:bookmarkEnd w:id="212"/>
    </w:p>
    <w:p w14:paraId="2CA52823" w14:textId="289FDD63" w:rsidR="005C6EE6" w:rsidRPr="005C6EE6" w:rsidRDefault="005C6EE6" w:rsidP="005C6EE6">
      <w:r w:rsidRPr="005C6EE6">
        <w:t xml:space="preserve">Med afsæt i de faktiske affaldsmængder i dag og kommunens fremskrivning af boligsammensætningen, er i Bilag III opgjort de faktiske mængder i 2020 sammenholdt med de forventede affaldsmængder i 2025 (det næste ’mål-år’ i Affaldsdirektivet) og 2030 (det følgende ’mål-år’). Udover at afspejle udviklingen i antallet af husstande, viser mængderne i 2025 også de forventede effekter af nærværende affaldsplan, mens der for perioden 2025-2030 alene tages </w:t>
      </w:r>
      <w:r w:rsidRPr="005C6EE6">
        <w:lastRenderedPageBreak/>
        <w:t xml:space="preserve">afsæt i den forventede udvikling i antallet af husstande. </w:t>
      </w:r>
      <w:r w:rsidR="00654B76">
        <w:t>B</w:t>
      </w:r>
      <w:r w:rsidRPr="005C6EE6">
        <w:t>ortse</w:t>
      </w:r>
      <w:r w:rsidR="00654B76">
        <w:t xml:space="preserve">t </w:t>
      </w:r>
      <w:r w:rsidRPr="005C6EE6">
        <w:t xml:space="preserve">fra en konkret nedskrivning af papirmængderne (baseret på de senere års faktiske udvikling) er der ved fremskrivningerne </w:t>
      </w:r>
      <w:r w:rsidRPr="005C6EE6">
        <w:rPr>
          <w:i/>
          <w:iCs/>
        </w:rPr>
        <w:t>ikke</w:t>
      </w:r>
      <w:r w:rsidRPr="005C6EE6">
        <w:t xml:space="preserve"> taget højde for eventuelle udsving i art og mængde af affald som følge af i øvrigt uforudsigelige ændringer i forbrugsmønstre m.v. Forudsætningerne i øvrigt fremgår af Bilag III.</w:t>
      </w:r>
    </w:p>
    <w:p w14:paraId="3A48B783" w14:textId="3C804678" w:rsidR="00A84CE0" w:rsidRPr="005C6EE6" w:rsidRDefault="005C6EE6" w:rsidP="005C6EE6">
      <w:pPr>
        <w:rPr>
          <w:i/>
          <w:iCs/>
        </w:rPr>
      </w:pPr>
      <w:r w:rsidRPr="005C6EE6">
        <w:t xml:space="preserve">Udviklingen er gengivet grafisk i </w:t>
      </w:r>
      <w:r w:rsidRPr="005C6EE6">
        <w:rPr>
          <w:i/>
          <w:iCs/>
        </w:rPr>
        <w:t>Figur 4.1.</w:t>
      </w:r>
    </w:p>
    <w:p w14:paraId="741A5D86" w14:textId="77777777" w:rsidR="005C6EE6" w:rsidRPr="005C6EE6" w:rsidRDefault="005C6EE6" w:rsidP="005C6EE6">
      <w:pPr>
        <w:rPr>
          <w:rFonts w:ascii="Verdana" w:hAnsi="Verdana"/>
        </w:rPr>
      </w:pPr>
      <w:r w:rsidRPr="005C6EE6">
        <w:rPr>
          <w:noProof/>
        </w:rPr>
        <w:drawing>
          <wp:inline distT="0" distB="0" distL="0" distR="0" wp14:anchorId="7A9D9E5B" wp14:editId="0BD10AFD">
            <wp:extent cx="4572000" cy="2743200"/>
            <wp:effectExtent l="0" t="0" r="0" b="0"/>
            <wp:docPr id="41" name="Diagram 41">
              <a:extLst xmlns:a="http://schemas.openxmlformats.org/drawingml/2006/main">
                <a:ext uri="{FF2B5EF4-FFF2-40B4-BE49-F238E27FC236}">
                  <a16:creationId xmlns:a16="http://schemas.microsoft.com/office/drawing/2014/main" id="{FD26F3F6-954A-43F5-A76E-9D9B2F8B1F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282CBFA" w14:textId="77777777" w:rsidR="005C6EE6" w:rsidRPr="00386FF0" w:rsidRDefault="005C6EE6" w:rsidP="005C6EE6">
      <w:pPr>
        <w:rPr>
          <w:i/>
          <w:iCs/>
        </w:rPr>
      </w:pPr>
      <w:r w:rsidRPr="00386FF0">
        <w:rPr>
          <w:i/>
          <w:iCs/>
        </w:rPr>
        <w:t>Figur 4.1.: De samlede mængder af kommunalt affald i 2020, opdelt på reelt genanvendt og øvrigt, sammenlignet med de forventede mængder i 2025 (det første mål-år i affaldsdirektivet) og i 2030 (det andet mål-år) med angivelse også af den reelle genanvendelsesprocent (højre y-akse).</w:t>
      </w:r>
    </w:p>
    <w:p w14:paraId="5ED7F7AE" w14:textId="4C4E37EF" w:rsidR="005C6EE6" w:rsidRDefault="005C6EE6" w:rsidP="005C6EE6">
      <w:r w:rsidRPr="005C6EE6">
        <w:t>Det ses, at den relative andel til reel genanvendelse forventes at stige fra ca. 50 % i 2020 til 54 % i 2025, og herefter at holde sig konstant på dette niveau. Målet om 55 % reel genanvendelse af kommunalt affald i 2025 vil således næsten blive opfyldt, mens kommunen vil tilstræbe at opfylde målet om 60 % i 2030 gennem optimering af de ordninger, der iværksættes med denne plan</w:t>
      </w:r>
      <w:r w:rsidR="005B4D03" w:rsidRPr="005B4D03">
        <w:t>, ligesom også erhverve</w:t>
      </w:r>
      <w:r w:rsidR="00163F22">
        <w:t>t</w:t>
      </w:r>
      <w:r w:rsidR="005B4D03" w:rsidRPr="005B4D03">
        <w:t xml:space="preserve"> forventes at bidrage til opfyldelse af målene med øget genanvendelse af den del af deres affald, der er klassificeret som ’kommunalt affald’.</w:t>
      </w:r>
      <w:r w:rsidRPr="005C6EE6">
        <w:t xml:space="preserve"> </w:t>
      </w:r>
    </w:p>
    <w:p w14:paraId="49DBD1D7" w14:textId="77777777" w:rsidR="003B741D" w:rsidRPr="005C6EE6" w:rsidRDefault="003B741D" w:rsidP="005C6EE6"/>
    <w:p w14:paraId="1E45C174" w14:textId="6FC4B9F7" w:rsidR="005C6EE6" w:rsidRPr="005C6EE6" w:rsidRDefault="005C6EE6" w:rsidP="006C7D9B">
      <w:pPr>
        <w:pStyle w:val="Overskrift2"/>
      </w:pPr>
      <w:bookmarkStart w:id="213" w:name="_Toc65581895"/>
      <w:bookmarkStart w:id="214" w:name="_Toc65685147"/>
      <w:bookmarkStart w:id="215" w:name="_Toc66217095"/>
      <w:bookmarkStart w:id="216" w:name="_Toc68083502"/>
      <w:bookmarkStart w:id="217" w:name="_Toc68090435"/>
      <w:bookmarkStart w:id="218" w:name="_Toc68530406"/>
      <w:bookmarkStart w:id="219" w:name="_Toc68582137"/>
      <w:bookmarkStart w:id="220" w:name="_Toc68611318"/>
      <w:bookmarkStart w:id="221" w:name="_Toc69216634"/>
      <w:bookmarkStart w:id="222" w:name="_Toc70950928"/>
      <w:bookmarkStart w:id="223" w:name="_Toc76126058"/>
      <w:bookmarkStart w:id="224" w:name="_Toc85189850"/>
      <w:r w:rsidRPr="005C6EE6">
        <w:t>En vurdering af behovet for nye indsamlingsordninger</w:t>
      </w:r>
      <w:bookmarkEnd w:id="213"/>
      <w:bookmarkEnd w:id="214"/>
      <w:bookmarkEnd w:id="215"/>
      <w:bookmarkEnd w:id="216"/>
      <w:bookmarkEnd w:id="217"/>
      <w:bookmarkEnd w:id="218"/>
      <w:bookmarkEnd w:id="219"/>
      <w:bookmarkEnd w:id="220"/>
      <w:bookmarkEnd w:id="221"/>
      <w:bookmarkEnd w:id="222"/>
      <w:bookmarkEnd w:id="223"/>
      <w:bookmarkEnd w:id="224"/>
    </w:p>
    <w:p w14:paraId="751B408D" w14:textId="011D1178" w:rsidR="005C6EE6" w:rsidRPr="005C6EE6" w:rsidRDefault="005C6EE6" w:rsidP="006C7D9B">
      <w:pPr>
        <w:pStyle w:val="Overskrift3"/>
      </w:pPr>
      <w:bookmarkStart w:id="225" w:name="_Toc65685148"/>
      <w:bookmarkStart w:id="226" w:name="_Toc66217096"/>
      <w:bookmarkStart w:id="227" w:name="_Toc68083503"/>
      <w:bookmarkStart w:id="228" w:name="_Toc68090436"/>
      <w:bookmarkStart w:id="229" w:name="_Toc68530407"/>
      <w:bookmarkStart w:id="230" w:name="_Toc68582138"/>
      <w:bookmarkStart w:id="231" w:name="_Toc68611319"/>
      <w:bookmarkStart w:id="232" w:name="_Toc69216635"/>
      <w:bookmarkStart w:id="233" w:name="_Toc70950929"/>
      <w:bookmarkStart w:id="234" w:name="_Toc76126059"/>
      <w:bookmarkStart w:id="235" w:name="_Toc85189851"/>
      <w:r w:rsidRPr="005C6EE6">
        <w:t>Perioden 2021-2026</w:t>
      </w:r>
      <w:bookmarkEnd w:id="225"/>
      <w:bookmarkEnd w:id="226"/>
      <w:bookmarkEnd w:id="227"/>
      <w:bookmarkEnd w:id="228"/>
      <w:bookmarkEnd w:id="229"/>
      <w:bookmarkEnd w:id="230"/>
      <w:bookmarkEnd w:id="231"/>
      <w:bookmarkEnd w:id="232"/>
      <w:bookmarkEnd w:id="233"/>
      <w:bookmarkEnd w:id="234"/>
      <w:bookmarkEnd w:id="235"/>
    </w:p>
    <w:p w14:paraId="31885104" w14:textId="23282A1A" w:rsidR="005C6EE6" w:rsidRPr="005C6EE6" w:rsidRDefault="005C6EE6" w:rsidP="005C6EE6">
      <w:r w:rsidRPr="005C6EE6">
        <w:t>Kommunen har som anført i afsnit 2.3. i dag indsamlingsordninger i form af henteordninger for rest-, mad-, papir-, pap-, hård plast-, metal- og glasaffald</w:t>
      </w:r>
      <w:r w:rsidR="00163F22">
        <w:t>. D</w:t>
      </w:r>
      <w:r w:rsidRPr="005C6EE6">
        <w:t>e sidste tre i form af kombineret indsamling af metal/glas/hård plast</w:t>
      </w:r>
      <w:r w:rsidR="00163F22">
        <w:t>. Papir og småt pap indsamles ligeledes sammenblandet. Herudover har kommunen</w:t>
      </w:r>
      <w:r w:rsidRPr="005C6EE6">
        <w:t xml:space="preserve"> en indsamlingsordning for småt elektronik og batterier i form af en ’pose-på-låg-ordning’.</w:t>
      </w:r>
    </w:p>
    <w:p w14:paraId="58EF16F2" w14:textId="77777777" w:rsidR="00CF1A29" w:rsidRDefault="005C6EE6" w:rsidP="005C6EE6">
      <w:r w:rsidRPr="005C6EE6">
        <w:t>Kommunen agter i perioden 2021-2026 dels at ophøre med den kombinerede indsamling af metal, glas og plast, sådan som bekendtgørelsen foreskriver, dels at supplere med indsamlingsordninger i form af henteordninger for de resterende affaldstyper, som affaldsbekendtgørelsen pålægger kommunerne, nemlig blødt plast-, mad- og drikkekarton- og tekstilaffald samt farligt affald</w:t>
      </w:r>
      <w:r w:rsidR="00163F22">
        <w:t>. K</w:t>
      </w:r>
      <w:r w:rsidRPr="005C6EE6">
        <w:t xml:space="preserve">ommunen overvejer at inkludere indsamlingen af småt elektronik og batterier i </w:t>
      </w:r>
      <w:r w:rsidR="00163F22">
        <w:t>farligt affald</w:t>
      </w:r>
      <w:r w:rsidRPr="005C6EE6">
        <w:t>.</w:t>
      </w:r>
    </w:p>
    <w:p w14:paraId="606675E0" w14:textId="66BFAD51" w:rsidR="005C6EE6" w:rsidRPr="005C6EE6" w:rsidRDefault="002E1AE4" w:rsidP="005C6EE6">
      <w:r>
        <w:rPr>
          <w:noProof/>
        </w:rPr>
        <w:lastRenderedPageBreak/>
        <mc:AlternateContent>
          <mc:Choice Requires="wps">
            <w:drawing>
              <wp:anchor distT="0" distB="0" distL="114300" distR="114300" simplePos="0" relativeHeight="251664384" behindDoc="0" locked="0" layoutInCell="1" allowOverlap="1" wp14:anchorId="6268F5BC" wp14:editId="66588315">
                <wp:simplePos x="0" y="0"/>
                <wp:positionH relativeFrom="column">
                  <wp:posOffset>71479</wp:posOffset>
                </wp:positionH>
                <wp:positionV relativeFrom="paragraph">
                  <wp:posOffset>125360</wp:posOffset>
                </wp:positionV>
                <wp:extent cx="2483893" cy="341194"/>
                <wp:effectExtent l="0" t="0" r="12065" b="20955"/>
                <wp:wrapNone/>
                <wp:docPr id="32" name="Rektangel: afrundede hjørner 32"/>
                <wp:cNvGraphicFramePr/>
                <a:graphic xmlns:a="http://schemas.openxmlformats.org/drawingml/2006/main">
                  <a:graphicData uri="http://schemas.microsoft.com/office/word/2010/wordprocessingShape">
                    <wps:wsp>
                      <wps:cNvSpPr/>
                      <wps:spPr>
                        <a:xfrm>
                          <a:off x="0" y="0"/>
                          <a:ext cx="2483893" cy="34119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D2C5F5" w14:textId="51C99F1F" w:rsidR="000A512E" w:rsidRDefault="000A512E" w:rsidP="002E1AE4">
                            <w:pPr>
                              <w:jc w:val="center"/>
                            </w:pPr>
                            <w:r>
                              <w:t>Hvor gemmer de 9 affaldstyper sig?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68F5BC" id="Rektangel: afrundede hjørner 32" o:spid="_x0000_s1026" style="position:absolute;margin-left:5.65pt;margin-top:9.85pt;width:195.6pt;height:26.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" fillcolor="#4f81bd [3204]" strokecolor="#243f60 [1604]" strokeweight="2pt">
                <v:textbox>
                  <w:txbxContent>
                    <w:p w14:paraId="68D2C5F5" w14:textId="51C99F1F" w:rsidR="000A512E" w:rsidRDefault="000A512E" w:rsidP="002E1AE4">
                      <w:pPr>
                        <w:jc w:val="center"/>
                      </w:pPr>
                      <w:r>
                        <w:t>Hvor gemmer de 9 affaldstyper sig?</w:t>
                      </w:r>
                    </w:p>
                  </w:txbxContent>
                </v:textbox>
              </v:roundrect>
            </w:pict>
          </mc:Fallback>
        </mc:AlternateContent>
      </w:r>
    </w:p>
    <w:p w14:paraId="55C4F667" w14:textId="2B1F3DFB" w:rsidR="005C6EE6" w:rsidRDefault="002E1AE4" w:rsidP="005C6EE6">
      <w:pPr>
        <w:rPr>
          <w:rFonts w:ascii="Verdana" w:hAnsi="Verdana"/>
        </w:rPr>
      </w:pPr>
      <w:r>
        <w:rPr>
          <w:noProof/>
        </w:rPr>
        <mc:AlternateContent>
          <mc:Choice Requires="wps">
            <w:drawing>
              <wp:anchor distT="0" distB="0" distL="114300" distR="114300" simplePos="0" relativeHeight="251663360" behindDoc="0" locked="0" layoutInCell="1" allowOverlap="1" wp14:anchorId="49764513" wp14:editId="5B06625F">
                <wp:simplePos x="0" y="0"/>
                <wp:positionH relativeFrom="column">
                  <wp:posOffset>4643480</wp:posOffset>
                </wp:positionH>
                <wp:positionV relativeFrom="paragraph">
                  <wp:posOffset>4325924</wp:posOffset>
                </wp:positionV>
                <wp:extent cx="1882888" cy="341194"/>
                <wp:effectExtent l="0" t="0" r="22225" b="20955"/>
                <wp:wrapNone/>
                <wp:docPr id="30" name="Ellipse 30"/>
                <wp:cNvGraphicFramePr/>
                <a:graphic xmlns:a="http://schemas.openxmlformats.org/drawingml/2006/main">
                  <a:graphicData uri="http://schemas.microsoft.com/office/word/2010/wordprocessingShape">
                    <wps:wsp>
                      <wps:cNvSpPr/>
                      <wps:spPr>
                        <a:xfrm>
                          <a:off x="0" y="0"/>
                          <a:ext cx="1882888" cy="34119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B1C260" w14:textId="1558548D" w:rsidR="000A512E" w:rsidRPr="002E1AE4" w:rsidRDefault="000A512E" w:rsidP="002E1AE4">
                            <w:pPr>
                              <w:jc w:val="center"/>
                              <w:rPr>
                                <w:sz w:val="18"/>
                                <w:szCs w:val="18"/>
                              </w:rPr>
                            </w:pPr>
                            <w:r w:rsidRPr="002E1AE4">
                              <w:rPr>
                                <w:sz w:val="18"/>
                                <w:szCs w:val="18"/>
                              </w:rPr>
                              <w:t>Husstands-inds./GBP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764513" id="Ellipse 30" o:spid="_x0000_s1027" style="position:absolute;margin-left:365.65pt;margin-top:340.6pt;width:148.2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" fillcolor="#4f81bd [3204]" strokecolor="#243f60 [1604]" strokeweight="2pt">
                <v:textbox>
                  <w:txbxContent>
                    <w:p w14:paraId="6DB1C260" w14:textId="1558548D" w:rsidR="000A512E" w:rsidRPr="002E1AE4" w:rsidRDefault="000A512E" w:rsidP="002E1AE4">
                      <w:pPr>
                        <w:jc w:val="center"/>
                        <w:rPr>
                          <w:sz w:val="18"/>
                          <w:szCs w:val="18"/>
                        </w:rPr>
                      </w:pPr>
                      <w:r w:rsidRPr="002E1AE4">
                        <w:rPr>
                          <w:sz w:val="18"/>
                          <w:szCs w:val="18"/>
                        </w:rPr>
                        <w:t>Husstands-inds./GBP</w:t>
                      </w:r>
                    </w:p>
                  </w:txbxContent>
                </v:textbox>
              </v:oval>
            </w:pict>
          </mc:Fallback>
        </mc:AlternateContent>
      </w:r>
      <w:r w:rsidR="008A5674">
        <w:rPr>
          <w:noProof/>
        </w:rPr>
        <w:drawing>
          <wp:inline distT="0" distB="0" distL="0" distR="0" wp14:anchorId="13A0D4C9" wp14:editId="4E6399AC">
            <wp:extent cx="6120130" cy="4919345"/>
            <wp:effectExtent l="0" t="0" r="0" b="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130" cy="4919345"/>
                    </a:xfrm>
                    <a:prstGeom prst="rect">
                      <a:avLst/>
                    </a:prstGeom>
                  </pic:spPr>
                </pic:pic>
              </a:graphicData>
            </a:graphic>
          </wp:inline>
        </w:drawing>
      </w:r>
    </w:p>
    <w:p w14:paraId="22E1CFA9" w14:textId="13FC3AAC" w:rsidR="002E1AE4" w:rsidRPr="005C6EE6" w:rsidRDefault="002E1AE4" w:rsidP="005C6EE6">
      <w:pPr>
        <w:rPr>
          <w:rFonts w:ascii="Verdana" w:hAnsi="Verdana"/>
        </w:rPr>
      </w:pPr>
      <w:r>
        <w:rPr>
          <w:noProof/>
        </w:rPr>
        <mc:AlternateContent>
          <mc:Choice Requires="wps">
            <w:drawing>
              <wp:anchor distT="0" distB="0" distL="114300" distR="114300" simplePos="0" relativeHeight="251662336" behindDoc="0" locked="0" layoutInCell="1" allowOverlap="1" wp14:anchorId="69605258" wp14:editId="44954D51">
                <wp:simplePos x="0" y="0"/>
                <wp:positionH relativeFrom="column">
                  <wp:posOffset>520065</wp:posOffset>
                </wp:positionH>
                <wp:positionV relativeFrom="paragraph">
                  <wp:posOffset>10795</wp:posOffset>
                </wp:positionV>
                <wp:extent cx="1542415" cy="1113155"/>
                <wp:effectExtent l="0" t="0" r="635" b="0"/>
                <wp:wrapSquare wrapText="bothSides"/>
                <wp:docPr id="29" name="Tekstfelt 29"/>
                <wp:cNvGraphicFramePr/>
                <a:graphic xmlns:a="http://schemas.openxmlformats.org/drawingml/2006/main">
                  <a:graphicData uri="http://schemas.microsoft.com/office/word/2010/wordprocessingShape">
                    <wps:wsp>
                      <wps:cNvSpPr txBox="1"/>
                      <wps:spPr>
                        <a:xfrm>
                          <a:off x="0" y="0"/>
                          <a:ext cx="1542415" cy="1113155"/>
                        </a:xfrm>
                        <a:prstGeom prst="rect">
                          <a:avLst/>
                        </a:prstGeom>
                        <a:solidFill>
                          <a:schemeClr val="lt1"/>
                        </a:solidFill>
                        <a:ln w="6350">
                          <a:noFill/>
                        </a:ln>
                      </wps:spPr>
                      <wps:txbx>
                        <w:txbxContent>
                          <w:p w14:paraId="09EC804F" w14:textId="76582265" w:rsidR="000A512E" w:rsidRPr="00CF1A29" w:rsidRDefault="000A512E" w:rsidP="002E1AE4">
                            <w:pPr>
                              <w:rPr>
                                <w:sz w:val="18"/>
                                <w:szCs w:val="18"/>
                              </w:rPr>
                            </w:pPr>
                            <w:r w:rsidRPr="00CF1A29">
                              <w:rPr>
                                <w:sz w:val="18"/>
                                <w:szCs w:val="18"/>
                                <w:u w:val="single"/>
                              </w:rPr>
                              <w:t>Eksempel, papir</w:t>
                            </w:r>
                            <w:r w:rsidR="00CF1A29">
                              <w:rPr>
                                <w:sz w:val="18"/>
                                <w:szCs w:val="18"/>
                              </w:rPr>
                              <w:br/>
                            </w:r>
                            <w:r w:rsidRPr="00CF1A29">
                              <w:rPr>
                                <w:sz w:val="18"/>
                                <w:szCs w:val="18"/>
                              </w:rPr>
                              <w:t>57 kg i papir/småt pap</w:t>
                            </w:r>
                            <w:r w:rsidRPr="00CF1A29">
                              <w:rPr>
                                <w:sz w:val="18"/>
                                <w:szCs w:val="18"/>
                              </w:rPr>
                              <w:br/>
                              <w:t>5 kg på genbrugsplads</w:t>
                            </w:r>
                            <w:r w:rsidRPr="00CF1A29">
                              <w:rPr>
                                <w:sz w:val="18"/>
                                <w:szCs w:val="18"/>
                              </w:rPr>
                              <w:br/>
                              <w:t>6 kg i rest</w:t>
                            </w:r>
                            <w:r w:rsidRPr="00CF1A29">
                              <w:rPr>
                                <w:sz w:val="18"/>
                                <w:szCs w:val="18"/>
                              </w:rPr>
                              <w:br/>
                              <w:t>17 kg i andet</w:t>
                            </w:r>
                            <w:r w:rsidRPr="00CF1A29">
                              <w:rPr>
                                <w:sz w:val="18"/>
                                <w:szCs w:val="18"/>
                              </w:rPr>
                              <w:br/>
                              <w:t>85 kg i alt</w:t>
                            </w:r>
                            <w:r w:rsidRPr="00CF1A29">
                              <w:rPr>
                                <w:sz w:val="18"/>
                                <w:szCs w:val="18"/>
                              </w:rPr>
                              <w:br/>
                            </w:r>
                            <w:r w:rsidRPr="00CF1A29">
                              <w:rPr>
                                <w:i/>
                                <w:iCs/>
                                <w:sz w:val="18"/>
                                <w:szCs w:val="18"/>
                              </w:rPr>
                              <w:t>73 % effektivitet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05258" id="_x0000_t202" coordsize="21600,21600" o:spt="202" path="m,l,21600r21600,l21600,xe">
                <v:stroke joinstyle="miter"/>
                <v:path gradientshapeok="t" o:connecttype="rect"/>
              </v:shapetype>
              <v:shape id="Tekstfelt 29" o:spid="_x0000_s1028" type="#_x0000_t202" style="position:absolute;margin-left:40.95pt;margin-top:.85pt;width:121.45pt;height:8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" fillcolor="white [3201]" stroked="f" strokeweight=".5pt">
                <v:textbox>
                  <w:txbxContent>
                    <w:p w14:paraId="09EC804F" w14:textId="76582265" w:rsidR="000A512E" w:rsidRPr="00CF1A29" w:rsidRDefault="000A512E" w:rsidP="002E1AE4">
                      <w:pPr>
                        <w:rPr>
                          <w:sz w:val="18"/>
                          <w:szCs w:val="18"/>
                        </w:rPr>
                      </w:pPr>
                      <w:r w:rsidRPr="00CF1A29">
                        <w:rPr>
                          <w:sz w:val="18"/>
                          <w:szCs w:val="18"/>
                          <w:u w:val="single"/>
                        </w:rPr>
                        <w:t>Eksempel, papir</w:t>
                      </w:r>
                      <w:r w:rsidR="00CF1A29">
                        <w:rPr>
                          <w:sz w:val="18"/>
                          <w:szCs w:val="18"/>
                        </w:rPr>
                        <w:br/>
                      </w:r>
                      <w:r w:rsidRPr="00CF1A29">
                        <w:rPr>
                          <w:sz w:val="18"/>
                          <w:szCs w:val="18"/>
                        </w:rPr>
                        <w:t>57 kg i papir/småt pap</w:t>
                      </w:r>
                      <w:r w:rsidRPr="00CF1A29">
                        <w:rPr>
                          <w:sz w:val="18"/>
                          <w:szCs w:val="18"/>
                        </w:rPr>
                        <w:br/>
                        <w:t>5 kg på genbrugsplads</w:t>
                      </w:r>
                      <w:r w:rsidRPr="00CF1A29">
                        <w:rPr>
                          <w:sz w:val="18"/>
                          <w:szCs w:val="18"/>
                        </w:rPr>
                        <w:br/>
                        <w:t>6 kg i rest</w:t>
                      </w:r>
                      <w:r w:rsidRPr="00CF1A29">
                        <w:rPr>
                          <w:sz w:val="18"/>
                          <w:szCs w:val="18"/>
                        </w:rPr>
                        <w:br/>
                        <w:t>17 kg i andet</w:t>
                      </w:r>
                      <w:r w:rsidRPr="00CF1A29">
                        <w:rPr>
                          <w:sz w:val="18"/>
                          <w:szCs w:val="18"/>
                        </w:rPr>
                        <w:br/>
                        <w:t>85 kg i alt</w:t>
                      </w:r>
                      <w:r w:rsidRPr="00CF1A29">
                        <w:rPr>
                          <w:sz w:val="18"/>
                          <w:szCs w:val="18"/>
                        </w:rPr>
                        <w:br/>
                      </w:r>
                      <w:r w:rsidRPr="00CF1A29">
                        <w:rPr>
                          <w:i/>
                          <w:iCs/>
                          <w:sz w:val="18"/>
                          <w:szCs w:val="18"/>
                        </w:rPr>
                        <w:t>73 % effektivitet</w:t>
                      </w:r>
                    </w:p>
                  </w:txbxContent>
                </v:textbox>
                <w10:wrap type="square"/>
              </v:shape>
            </w:pict>
          </mc:Fallback>
        </mc:AlternateContent>
      </w:r>
      <w:r>
        <w:rPr>
          <w:rFonts w:ascii="Verdana" w:hAnsi="Verdana"/>
        </w:rPr>
        <w:tab/>
      </w:r>
      <w:r>
        <w:rPr>
          <w:rFonts w:ascii="Verdana" w:hAnsi="Verdana"/>
        </w:rPr>
        <w:tab/>
      </w:r>
      <w:r>
        <w:rPr>
          <w:rFonts w:ascii="Verdana" w:hAnsi="Verdana"/>
        </w:rPr>
        <w:tab/>
      </w:r>
      <w:r>
        <w:rPr>
          <w:noProof/>
        </w:rPr>
        <mc:AlternateContent>
          <mc:Choice Requires="wps">
            <w:drawing>
              <wp:inline distT="0" distB="0" distL="0" distR="0" wp14:anchorId="5D0C56F3" wp14:editId="3940194F">
                <wp:extent cx="1528549" cy="1144988"/>
                <wp:effectExtent l="0" t="0" r="0" b="0"/>
                <wp:docPr id="26" name="Tekstfelt 26"/>
                <wp:cNvGraphicFramePr/>
                <a:graphic xmlns:a="http://schemas.openxmlformats.org/drawingml/2006/main">
                  <a:graphicData uri="http://schemas.microsoft.com/office/word/2010/wordprocessingShape">
                    <wps:wsp>
                      <wps:cNvSpPr txBox="1"/>
                      <wps:spPr>
                        <a:xfrm>
                          <a:off x="0" y="0"/>
                          <a:ext cx="1528549" cy="1144988"/>
                        </a:xfrm>
                        <a:prstGeom prst="rect">
                          <a:avLst/>
                        </a:prstGeom>
                        <a:solidFill>
                          <a:schemeClr val="lt1"/>
                        </a:solidFill>
                        <a:ln w="6350">
                          <a:noFill/>
                        </a:ln>
                      </wps:spPr>
                      <wps:txbx>
                        <w:txbxContent>
                          <w:p w14:paraId="04AF38CD" w14:textId="79676A0A" w:rsidR="000A512E" w:rsidRPr="00CF1A29" w:rsidRDefault="000A512E" w:rsidP="002E1AE4">
                            <w:pPr>
                              <w:rPr>
                                <w:sz w:val="18"/>
                                <w:szCs w:val="18"/>
                              </w:rPr>
                            </w:pPr>
                            <w:r w:rsidRPr="00CF1A29">
                              <w:rPr>
                                <w:sz w:val="18"/>
                                <w:szCs w:val="18"/>
                                <w:u w:val="single"/>
                              </w:rPr>
                              <w:t>Eksempel, mad</w:t>
                            </w:r>
                            <w:r w:rsidR="00CF1A29">
                              <w:rPr>
                                <w:sz w:val="18"/>
                                <w:szCs w:val="18"/>
                              </w:rPr>
                              <w:br/>
                            </w:r>
                            <w:r w:rsidRPr="00CF1A29">
                              <w:rPr>
                                <w:sz w:val="18"/>
                                <w:szCs w:val="18"/>
                              </w:rPr>
                              <w:t>156 kg i mad</w:t>
                            </w:r>
                            <w:r w:rsidRPr="00CF1A29">
                              <w:rPr>
                                <w:sz w:val="18"/>
                                <w:szCs w:val="18"/>
                              </w:rPr>
                              <w:br/>
                              <w:t>0 kg på genbrugsplads</w:t>
                            </w:r>
                            <w:r w:rsidRPr="00CF1A29">
                              <w:rPr>
                                <w:sz w:val="18"/>
                                <w:szCs w:val="18"/>
                              </w:rPr>
                              <w:br/>
                              <w:t>47 kg i rest</w:t>
                            </w:r>
                            <w:r w:rsidRPr="00CF1A29">
                              <w:rPr>
                                <w:sz w:val="18"/>
                                <w:szCs w:val="18"/>
                              </w:rPr>
                              <w:br/>
                              <w:t>3 kg i andet</w:t>
                            </w:r>
                            <w:r w:rsidRPr="00CF1A29">
                              <w:rPr>
                                <w:sz w:val="18"/>
                                <w:szCs w:val="18"/>
                              </w:rPr>
                              <w:br/>
                              <w:t>206 kg i alt</w:t>
                            </w:r>
                            <w:r w:rsidRPr="00CF1A29">
                              <w:rPr>
                                <w:sz w:val="18"/>
                                <w:szCs w:val="18"/>
                              </w:rPr>
                              <w:br/>
                            </w:r>
                            <w:r w:rsidRPr="00CF1A29">
                              <w:rPr>
                                <w:i/>
                                <w:iCs/>
                                <w:sz w:val="18"/>
                                <w:szCs w:val="18"/>
                              </w:rPr>
                              <w:t>76 % effektivitet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0C56F3" id="Tekstfelt 26" o:spid="_x0000_s1029" type="#_x0000_t202" style="width:120.35pt;height:9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" fillcolor="white [3201]" stroked="f" strokeweight=".5pt">
                <v:textbox>
                  <w:txbxContent>
                    <w:p w14:paraId="04AF38CD" w14:textId="79676A0A" w:rsidR="000A512E" w:rsidRPr="00CF1A29" w:rsidRDefault="000A512E" w:rsidP="002E1AE4">
                      <w:pPr>
                        <w:rPr>
                          <w:sz w:val="18"/>
                          <w:szCs w:val="18"/>
                        </w:rPr>
                      </w:pPr>
                      <w:r w:rsidRPr="00CF1A29">
                        <w:rPr>
                          <w:sz w:val="18"/>
                          <w:szCs w:val="18"/>
                          <w:u w:val="single"/>
                        </w:rPr>
                        <w:t>Eksempel, mad</w:t>
                      </w:r>
                      <w:r w:rsidR="00CF1A29">
                        <w:rPr>
                          <w:sz w:val="18"/>
                          <w:szCs w:val="18"/>
                        </w:rPr>
                        <w:br/>
                      </w:r>
                      <w:r w:rsidRPr="00CF1A29">
                        <w:rPr>
                          <w:sz w:val="18"/>
                          <w:szCs w:val="18"/>
                        </w:rPr>
                        <w:t>156 kg i mad</w:t>
                      </w:r>
                      <w:r w:rsidRPr="00CF1A29">
                        <w:rPr>
                          <w:sz w:val="18"/>
                          <w:szCs w:val="18"/>
                        </w:rPr>
                        <w:br/>
                        <w:t>0 kg på genbrugsplads</w:t>
                      </w:r>
                      <w:r w:rsidRPr="00CF1A29">
                        <w:rPr>
                          <w:sz w:val="18"/>
                          <w:szCs w:val="18"/>
                        </w:rPr>
                        <w:br/>
                        <w:t>47 kg i rest</w:t>
                      </w:r>
                      <w:r w:rsidRPr="00CF1A29">
                        <w:rPr>
                          <w:sz w:val="18"/>
                          <w:szCs w:val="18"/>
                        </w:rPr>
                        <w:br/>
                        <w:t>3 kg i andet</w:t>
                      </w:r>
                      <w:r w:rsidRPr="00CF1A29">
                        <w:rPr>
                          <w:sz w:val="18"/>
                          <w:szCs w:val="18"/>
                        </w:rPr>
                        <w:br/>
                        <w:t>206 kg i alt</w:t>
                      </w:r>
                      <w:r w:rsidRPr="00CF1A29">
                        <w:rPr>
                          <w:sz w:val="18"/>
                          <w:szCs w:val="18"/>
                        </w:rPr>
                        <w:br/>
                      </w:r>
                      <w:r w:rsidRPr="00CF1A29">
                        <w:rPr>
                          <w:i/>
                          <w:iCs/>
                          <w:sz w:val="18"/>
                          <w:szCs w:val="18"/>
                        </w:rPr>
                        <w:t>76 % effektivitet</w:t>
                      </w:r>
                    </w:p>
                  </w:txbxContent>
                </v:textbox>
                <w10:anchorlock/>
              </v:shape>
            </w:pict>
          </mc:Fallback>
        </mc:AlternateContent>
      </w:r>
    </w:p>
    <w:p w14:paraId="002DBA11" w14:textId="4EE50F9D" w:rsidR="005C6EE6" w:rsidRPr="00386FF0" w:rsidRDefault="005C6EE6" w:rsidP="005C6EE6">
      <w:pPr>
        <w:rPr>
          <w:i/>
          <w:iCs/>
        </w:rPr>
      </w:pPr>
      <w:r w:rsidRPr="00386FF0">
        <w:rPr>
          <w:i/>
          <w:iCs/>
        </w:rPr>
        <w:t xml:space="preserve">Figur 4.2. Samlet overblik over, hvor de 8 genanvendelige affaldstyper samt farligt affald, der fremover skal husstandsindsamles, i dag findes i affaldsstrømmene i Vordingborg Kommune. Lagkagestykkerne viser, hvor mange kg pr. husstand pr. år af de enkelte affaldstyper, der i dag flyder i hhv. restaffaldet og ’andet’ (fortrinsvis stort og småt brændbart på </w:t>
      </w:r>
      <w:r w:rsidR="00386FF0">
        <w:rPr>
          <w:i/>
          <w:iCs/>
        </w:rPr>
        <w:t>g</w:t>
      </w:r>
      <w:r w:rsidRPr="00386FF0">
        <w:rPr>
          <w:i/>
          <w:iCs/>
        </w:rPr>
        <w:t xml:space="preserve">enbrugspladserne). Stykkerne fra ’kl. 12 til 8’ husstandsindsamles allerede i dag. I de blå ovaler angives, hvor store mængder der lægges korrekt i hhv. husstandsindsamlingerne og på </w:t>
      </w:r>
      <w:r w:rsidR="00386FF0">
        <w:rPr>
          <w:i/>
          <w:iCs/>
        </w:rPr>
        <w:t>g</w:t>
      </w:r>
      <w:r w:rsidRPr="00386FF0">
        <w:rPr>
          <w:i/>
          <w:iCs/>
        </w:rPr>
        <w:t xml:space="preserve">enbrugspladserne. De hvide ovaler angiver indsamlingseffektiviteten i %. For de tre pantbelagte affaldstypers vedkommende er det i de rektangulære bokse angivet, hvor mange kg husstandene afleverer i snit om året. Af de 9 kg metal i rest og ’andet’, redes størstedelen ’tilbage’ ved sortering på forbrændingsslaggerne (se Bilag IId).      </w:t>
      </w:r>
    </w:p>
    <w:p w14:paraId="74D5ABB3" w14:textId="711E1BF9" w:rsidR="00CF1A29" w:rsidRDefault="00CF1A29" w:rsidP="005C6EE6">
      <w:r w:rsidRPr="005C6EE6">
        <w:lastRenderedPageBreak/>
        <w:t xml:space="preserve">I </w:t>
      </w:r>
      <w:r w:rsidRPr="005C6EE6">
        <w:rPr>
          <w:i/>
          <w:iCs/>
        </w:rPr>
        <w:t>Figur 4.2.</w:t>
      </w:r>
      <w:r w:rsidRPr="005C6EE6">
        <w:t xml:space="preserve"> er således givet et samlet overblik over, hvor de 9 affaldstyper – ud over restaffald – i dag flyder i affaldsstrømmene i Vordingborg Kommune, og det ses, at mens f.eks. blød plast i hovedsagen er at finde i restaffaldet, så findes f.eks. tekstilaffaldet i hovedsagen i småt brændbart på genbrugspladserne. </w:t>
      </w:r>
    </w:p>
    <w:p w14:paraId="10EDDE03" w14:textId="065137C8" w:rsidR="00CF1A29" w:rsidRDefault="00CF1A29" w:rsidP="005C6EE6">
      <w:r w:rsidRPr="005C6EE6">
        <w:t>Kommunen vil nøje tilrettelægge de nye ordninger ud fra det detailkendskab til affaldsstrømmene, som kommunen sammen med de øvrige AffaldPlus-kommuner har opnået ved affaldsanalyser og ved fyldningsgradsundersøgelser.</w:t>
      </w:r>
    </w:p>
    <w:p w14:paraId="7547E02F" w14:textId="6DD14917" w:rsidR="005C6EE6" w:rsidRPr="005C6EE6" w:rsidRDefault="00163F22" w:rsidP="005C6EE6">
      <w:r>
        <w:t>K</w:t>
      </w:r>
      <w:r w:rsidRPr="005C6EE6">
        <w:t xml:space="preserve">ommunen </w:t>
      </w:r>
      <w:r>
        <w:t xml:space="preserve">vil </w:t>
      </w:r>
      <w:r w:rsidRPr="005C6EE6">
        <w:t>tilrettelægge de fremtidige indsamlingsordninger</w:t>
      </w:r>
      <w:r>
        <w:t xml:space="preserve"> p</w:t>
      </w:r>
      <w:r w:rsidR="005C6EE6" w:rsidRPr="005C6EE6">
        <w:t xml:space="preserve">å baggrund af disse analyser og under hensyntagen til de muligheder for kombineret indsamling, bekendtgørelsen efterlader, samt under inddragelse af grundige markedsanalyser af afsætningsmulighederne for de resulterende fraktioner og affaldstyper - og endelig borgernes ønsker om letforståelige sorteringskrav og holdninger til beholderantal m.v. </w:t>
      </w:r>
    </w:p>
    <w:p w14:paraId="61706C40" w14:textId="77777777" w:rsidR="005C6EE6" w:rsidRPr="005C6EE6" w:rsidRDefault="005C6EE6" w:rsidP="005C6EE6">
      <w:r w:rsidRPr="005C6EE6">
        <w:t>Sideløbende med høringsprocessen omkring herværende affaldshåndteringsplan, vil kommunen således udarbejde separate forslag til konkrete affaldsordninger til planens realisering, og i den forbindelse sikre løbende borgerinddragelse.</w:t>
      </w:r>
    </w:p>
    <w:p w14:paraId="30F5C12C" w14:textId="77777777" w:rsidR="005C6EE6" w:rsidRPr="005C6EE6" w:rsidRDefault="005C6EE6" w:rsidP="005C6EE6">
      <w:r w:rsidRPr="005C6EE6">
        <w:t>Som anført i afsnit 2.3 har kommunen i dag en indsamlingsordning i form af en bringeordning til genbrugspladser med mulighed for borgere og erhverv for at aflevere godt 40 forskellige affaldstyper og -fraktioner til særskilt indsamling.</w:t>
      </w:r>
    </w:p>
    <w:p w14:paraId="5F007A5E" w14:textId="77777777" w:rsidR="005C6EE6" w:rsidRPr="005C6EE6" w:rsidRDefault="005C6EE6" w:rsidP="005C6EE6">
      <w:r w:rsidRPr="005C6EE6">
        <w:t>Heriblandt haveaffald, PVC-affald og imprægneret træ, hvorfor kommunen således allerede opfylder bekendtgørelsens krav om etablering af indsamlingsordninger herfor (jf. §§ 30, 31 og 32), ligesom bekendtgørelsen krav i § 36 om, at kommunen skal etablere en ordning for bygge- og anlægsaffald, som giver husholdningerne mulighed for at sortere i overensstemmelse med kravene til sortering i bekendtgørelsens § 64, stk. 1 og 2, ligeledes er indfriet med genbrugspladsordningen, som opfylder disse betingelser.</w:t>
      </w:r>
    </w:p>
    <w:p w14:paraId="306349A2" w14:textId="51D47263" w:rsidR="005C6EE6" w:rsidRPr="005C6EE6" w:rsidRDefault="005C6EE6" w:rsidP="005C6EE6">
      <w:r w:rsidRPr="005C6EE6">
        <w:t>Endelig vil kommunen påse, at den allerede etablerede storskraldsordning opfylder kravet i affaldsbekendtgørelsens § 33 om</w:t>
      </w:r>
      <w:r w:rsidR="00163F22">
        <w:t>,</w:t>
      </w:r>
      <w:r w:rsidRPr="005C6EE6">
        <w:t xml:space="preserve"> at det indsamlede storskrald forberedes med henblik på genbrug eller at der sikres en høj reel genanvendelse af storskraldet.</w:t>
      </w:r>
    </w:p>
    <w:p w14:paraId="6C0C8B63" w14:textId="4494DED0" w:rsidR="005C6EE6" w:rsidRDefault="005C6EE6" w:rsidP="005C6EE6">
      <w:r w:rsidRPr="005C6EE6">
        <w:t>Derudover påtænker kommunen ikke at etablere yderligere indsamlingsordninger, når bortse</w:t>
      </w:r>
      <w:r w:rsidR="00386FF0">
        <w:t>s</w:t>
      </w:r>
      <w:r w:rsidRPr="005C6EE6">
        <w:t xml:space="preserve"> fra løbende tilpasninger af sorteringsmulighederne på genbrugspladserne, så de svarer til de til enhver tid gældende afsætningsmuligheder for affald, egnet til materialenyttiggørelse eller forberedelse for genbrug.</w:t>
      </w:r>
    </w:p>
    <w:p w14:paraId="1556B625" w14:textId="77777777" w:rsidR="003B741D" w:rsidRPr="005C6EE6" w:rsidRDefault="003B741D" w:rsidP="005C6EE6"/>
    <w:p w14:paraId="384C565E" w14:textId="7FF9ABDD" w:rsidR="005C6EE6" w:rsidRPr="005C6EE6" w:rsidRDefault="005C6EE6" w:rsidP="006C7D9B">
      <w:pPr>
        <w:pStyle w:val="Overskrift3"/>
      </w:pPr>
      <w:bookmarkStart w:id="236" w:name="_Toc65685149"/>
      <w:bookmarkStart w:id="237" w:name="_Toc66217097"/>
      <w:bookmarkStart w:id="238" w:name="_Toc68083504"/>
      <w:bookmarkStart w:id="239" w:name="_Toc68090437"/>
      <w:bookmarkStart w:id="240" w:name="_Toc68530408"/>
      <w:bookmarkStart w:id="241" w:name="_Toc68582139"/>
      <w:bookmarkStart w:id="242" w:name="_Toc68611320"/>
      <w:bookmarkStart w:id="243" w:name="_Toc69216636"/>
      <w:bookmarkStart w:id="244" w:name="_Toc70950930"/>
      <w:bookmarkStart w:id="245" w:name="_Toc76126060"/>
      <w:bookmarkStart w:id="246" w:name="_Toc85189852"/>
      <w:r w:rsidRPr="005C6EE6">
        <w:t>Perioden 2027-2032</w:t>
      </w:r>
      <w:bookmarkEnd w:id="236"/>
      <w:bookmarkEnd w:id="237"/>
      <w:bookmarkEnd w:id="238"/>
      <w:bookmarkEnd w:id="239"/>
      <w:bookmarkEnd w:id="240"/>
      <w:bookmarkEnd w:id="241"/>
      <w:bookmarkEnd w:id="242"/>
      <w:bookmarkEnd w:id="243"/>
      <w:bookmarkEnd w:id="244"/>
      <w:bookmarkEnd w:id="245"/>
      <w:bookmarkEnd w:id="246"/>
    </w:p>
    <w:p w14:paraId="639A224C" w14:textId="77777777" w:rsidR="005C6EE6" w:rsidRPr="005C6EE6" w:rsidRDefault="005C6EE6" w:rsidP="005C6EE6">
      <w:r w:rsidRPr="005C6EE6">
        <w:t>Kommunen har p.t. ikke planer om at etablere yderligere indsamlingsordninger i perioden 2027-2032, medmindre der måtte komme lovkrav herom, ligesom kommunen løbende vil vurdere konkrete ønsker herom fra borgerne.</w:t>
      </w:r>
    </w:p>
    <w:p w14:paraId="2B22A8C2" w14:textId="77777777" w:rsidR="005C6EE6" w:rsidRPr="005C6EE6" w:rsidRDefault="005C6EE6" w:rsidP="005C6EE6"/>
    <w:p w14:paraId="6BB0EA93" w14:textId="5E3510E3" w:rsidR="005C6EE6" w:rsidRPr="005C6EE6" w:rsidRDefault="005C6EE6" w:rsidP="006C7D9B">
      <w:pPr>
        <w:pStyle w:val="Overskrift2"/>
      </w:pPr>
      <w:bookmarkStart w:id="247" w:name="_Toc65581896"/>
      <w:bookmarkStart w:id="248" w:name="_Toc65685150"/>
      <w:bookmarkStart w:id="249" w:name="_Toc66217098"/>
      <w:bookmarkStart w:id="250" w:name="_Toc68083505"/>
      <w:bookmarkStart w:id="251" w:name="_Toc68090438"/>
      <w:bookmarkStart w:id="252" w:name="_Toc68530409"/>
      <w:bookmarkStart w:id="253" w:name="_Toc68582140"/>
      <w:bookmarkStart w:id="254" w:name="_Toc68611321"/>
      <w:bookmarkStart w:id="255" w:name="_Toc69216637"/>
      <w:bookmarkStart w:id="256" w:name="_Toc70950931"/>
      <w:bookmarkStart w:id="257" w:name="_Toc76126061"/>
      <w:bookmarkStart w:id="258" w:name="_Toc85189853"/>
      <w:r w:rsidRPr="005C6EE6">
        <w:t>En beskrivelse af den forventede fremtidige håndtering af det affald, som kommunalbestyrelsen indsamler eller anviser til behandling</w:t>
      </w:r>
      <w:bookmarkEnd w:id="247"/>
      <w:bookmarkEnd w:id="248"/>
      <w:bookmarkEnd w:id="249"/>
      <w:bookmarkEnd w:id="250"/>
      <w:bookmarkEnd w:id="251"/>
      <w:bookmarkEnd w:id="252"/>
      <w:bookmarkEnd w:id="253"/>
      <w:bookmarkEnd w:id="254"/>
      <w:bookmarkEnd w:id="255"/>
      <w:bookmarkEnd w:id="256"/>
      <w:bookmarkEnd w:id="257"/>
      <w:bookmarkEnd w:id="258"/>
    </w:p>
    <w:p w14:paraId="7D23E9E8" w14:textId="77777777" w:rsidR="005C6EE6" w:rsidRPr="005C6EE6" w:rsidRDefault="005C6EE6" w:rsidP="003B741D">
      <w:pPr>
        <w:pStyle w:val="Listeafsnit"/>
      </w:pPr>
      <w:bookmarkStart w:id="259" w:name="_Toc65685151"/>
      <w:bookmarkStart w:id="260" w:name="_Toc66217099"/>
      <w:bookmarkStart w:id="261" w:name="_Toc68083506"/>
      <w:bookmarkStart w:id="262" w:name="_Toc68090439"/>
    </w:p>
    <w:p w14:paraId="65D167AF" w14:textId="165DE36E" w:rsidR="005C6EE6" w:rsidRPr="005C6EE6" w:rsidRDefault="006C7D9B" w:rsidP="006C7D9B">
      <w:pPr>
        <w:pStyle w:val="Overskrift3"/>
      </w:pPr>
      <w:bookmarkStart w:id="263" w:name="_Toc68530410"/>
      <w:bookmarkStart w:id="264" w:name="_Toc68582141"/>
      <w:bookmarkStart w:id="265" w:name="_Toc68611322"/>
      <w:bookmarkStart w:id="266" w:name="_Toc69216638"/>
      <w:bookmarkStart w:id="267" w:name="_Toc70950932"/>
      <w:bookmarkStart w:id="268" w:name="_Toc76126062"/>
      <w:bookmarkStart w:id="269" w:name="_Toc85189854"/>
      <w:r>
        <w:lastRenderedPageBreak/>
        <w:t>P</w:t>
      </w:r>
      <w:r w:rsidR="005C6EE6" w:rsidRPr="005C6EE6">
        <w:t>erioden 2021-2026</w:t>
      </w:r>
      <w:bookmarkEnd w:id="259"/>
      <w:bookmarkEnd w:id="260"/>
      <w:bookmarkEnd w:id="261"/>
      <w:bookmarkEnd w:id="262"/>
      <w:bookmarkEnd w:id="263"/>
      <w:bookmarkEnd w:id="264"/>
      <w:bookmarkEnd w:id="265"/>
      <w:bookmarkEnd w:id="266"/>
      <w:bookmarkEnd w:id="267"/>
      <w:bookmarkEnd w:id="268"/>
      <w:bookmarkEnd w:id="269"/>
    </w:p>
    <w:p w14:paraId="2D838EE6" w14:textId="77777777" w:rsidR="005C6EE6" w:rsidRPr="005C6EE6" w:rsidRDefault="005C6EE6" w:rsidP="005C6EE6">
      <w:r w:rsidRPr="005C6EE6">
        <w:t>De 10 affaldstyper, der skal indsamles ved en henteordning for husholdninger, agter kommunen at håndtere som følger:</w:t>
      </w:r>
    </w:p>
    <w:p w14:paraId="2B0DDDBB" w14:textId="08604D58" w:rsidR="005C6EE6" w:rsidRPr="005C6EE6" w:rsidRDefault="005C6EE6" w:rsidP="005C6EE6">
      <w:pPr>
        <w:rPr>
          <w:rFonts w:ascii="Calibri" w:hAnsi="Calibri"/>
        </w:rPr>
      </w:pPr>
      <w:r w:rsidRPr="005C6EE6">
        <w:rPr>
          <w:i/>
          <w:iCs/>
        </w:rPr>
        <w:t>Restaffald:</w:t>
      </w:r>
      <w:r w:rsidRPr="005C6EE6">
        <w:rPr>
          <w:i/>
          <w:iCs/>
        </w:rPr>
        <w:br/>
      </w:r>
      <w:r w:rsidRPr="005C6EE6">
        <w:t xml:space="preserve">Leveres </w:t>
      </w:r>
      <w:r w:rsidR="00171DB7" w:rsidRPr="00171DB7">
        <w:t>– medmindre lovgivningen ændres på dette punkt</w:t>
      </w:r>
      <w:r w:rsidR="00171DB7" w:rsidRPr="00171DB7">
        <w:rPr>
          <w:vertAlign w:val="superscript"/>
        </w:rPr>
        <w:footnoteReference w:id="10"/>
      </w:r>
      <w:r w:rsidR="00171DB7" w:rsidRPr="00171DB7">
        <w:t xml:space="preserve"> -</w:t>
      </w:r>
      <w:r w:rsidR="00171DB7" w:rsidRPr="00A91995">
        <w:rPr>
          <w:rFonts w:ascii="Verdana" w:hAnsi="Verdana"/>
        </w:rPr>
        <w:t xml:space="preserve"> </w:t>
      </w:r>
      <w:r w:rsidRPr="005C6EE6">
        <w:t>til de af AffaldPlus ejede og drevne affaldsenergianlæg i Næstved og Slagelse med henblik på forbrænding med energiudnyttelse og efterfølgende udsortering af metal til genanvendelse fra forbrændingsslaggen.</w:t>
      </w:r>
    </w:p>
    <w:p w14:paraId="4E00100C" w14:textId="4ECFF64A" w:rsidR="005C6EE6" w:rsidRPr="005C6EE6" w:rsidRDefault="005C6EE6" w:rsidP="005C6EE6">
      <w:pPr>
        <w:rPr>
          <w:rFonts w:ascii="Calibri" w:hAnsi="Calibri"/>
        </w:rPr>
      </w:pPr>
      <w:r w:rsidRPr="005C6EE6">
        <w:rPr>
          <w:i/>
          <w:iCs/>
        </w:rPr>
        <w:t>Madaffald:</w:t>
      </w:r>
      <w:r w:rsidRPr="005C6EE6">
        <w:rPr>
          <w:i/>
          <w:iCs/>
        </w:rPr>
        <w:br/>
      </w:r>
      <w:r w:rsidRPr="00171DB7">
        <w:t>Leveres</w:t>
      </w:r>
      <w:r w:rsidR="00171DB7" w:rsidRPr="00171DB7">
        <w:t xml:space="preserve"> – medmindre lovgivningen ændres på dette punkt</w:t>
      </w:r>
      <w:r w:rsidR="00171DB7" w:rsidRPr="00171DB7">
        <w:rPr>
          <w:vertAlign w:val="superscript"/>
        </w:rPr>
        <w:footnoteReference w:id="11"/>
      </w:r>
      <w:r w:rsidR="00171DB7" w:rsidRPr="00171DB7">
        <w:t xml:space="preserve"> -</w:t>
      </w:r>
      <w:r w:rsidRPr="005C6EE6">
        <w:t xml:space="preserve"> til det af AffaldPlus ejede og drevne forbehandlingsanlæg i Næstved med henblik på udsortering af en biopulp til levering til biogasanlæg samt en restfraktion, der energiudnyttes på Næstved Affaldsenergianlæg.</w:t>
      </w:r>
    </w:p>
    <w:p w14:paraId="73747047" w14:textId="77777777" w:rsidR="005C6EE6" w:rsidRPr="005C6EE6" w:rsidRDefault="005C6EE6" w:rsidP="005C6EE6">
      <w:pPr>
        <w:rPr>
          <w:rFonts w:ascii="Calibri" w:hAnsi="Calibri"/>
        </w:rPr>
      </w:pPr>
      <w:r w:rsidRPr="005C6EE6">
        <w:rPr>
          <w:i/>
          <w:iCs/>
        </w:rPr>
        <w:t>Plastaffald:</w:t>
      </w:r>
      <w:r w:rsidRPr="005C6EE6">
        <w:rPr>
          <w:i/>
          <w:iCs/>
        </w:rPr>
        <w:br/>
      </w:r>
      <w:r w:rsidRPr="005C6EE6">
        <w:t>Leveres til det af AffaldPlus ejede og drevne omlasteanlæg i Næstved med henblik på kvalitetskontrol, opbalning og transport til sorteringsanlæg med kapacitet til at udsortere minimum 60 % af plastaffaldet til materialegenanvendelse. Indtil videre er der kun et marked herfor i udlandet, men skulle det ændre sig, vil alternativerne blive løbende vurderet.</w:t>
      </w:r>
    </w:p>
    <w:p w14:paraId="55043E6A" w14:textId="77777777" w:rsidR="005C6EE6" w:rsidRPr="005C6EE6" w:rsidRDefault="005C6EE6" w:rsidP="005C6EE6">
      <w:pPr>
        <w:rPr>
          <w:rFonts w:ascii="Calibri" w:hAnsi="Calibri"/>
        </w:rPr>
      </w:pPr>
      <w:r w:rsidRPr="005C6EE6">
        <w:rPr>
          <w:i/>
          <w:iCs/>
        </w:rPr>
        <w:t>Mad- og drikkekartonaffald:</w:t>
      </w:r>
      <w:r w:rsidRPr="005C6EE6">
        <w:rPr>
          <w:i/>
          <w:iCs/>
        </w:rPr>
        <w:br/>
      </w:r>
      <w:r w:rsidRPr="005C6EE6">
        <w:t xml:space="preserve">Kommunen overvejer p.t. at indsamle mad- og drikkekartonaffald kombineret med plastaffald, og det vil i så fald følge dette. Alternativt vil mad- og drikkekartonaffald blive tilført det af AffaldPlus ejede og drevne omlasteanlæg i Næstved med henblik på kvalitetskontrol, opbalning og transport til behandlingsanlæg. P.t. findes kun sådanne i udlandet, men skulle det ændre sig, vil alternativerne blive løbende vurderet. </w:t>
      </w:r>
    </w:p>
    <w:p w14:paraId="1EDB54A2" w14:textId="43F306D9" w:rsidR="005C6EE6" w:rsidRPr="005C6EE6" w:rsidRDefault="005C6EE6" w:rsidP="005C6EE6">
      <w:pPr>
        <w:rPr>
          <w:rFonts w:ascii="Calibri" w:hAnsi="Calibri"/>
        </w:rPr>
      </w:pPr>
      <w:r w:rsidRPr="005C6EE6">
        <w:rPr>
          <w:i/>
          <w:iCs/>
        </w:rPr>
        <w:t>Papiraffald:</w:t>
      </w:r>
      <w:r w:rsidRPr="005C6EE6">
        <w:rPr>
          <w:i/>
          <w:iCs/>
        </w:rPr>
        <w:br/>
      </w:r>
      <w:r w:rsidRPr="005C6EE6">
        <w:t xml:space="preserve">Leveres til det af AffaldPlus ejede og drevne omlasteanlæg i Næstved med henblik på kvalitetskontrol og transport til behandlingsanlæg i udlandet. P.t. indsamles papiraffald kombineret med </w:t>
      </w:r>
      <w:r w:rsidR="00163F22">
        <w:t xml:space="preserve">småt </w:t>
      </w:r>
      <w:r w:rsidRPr="005C6EE6">
        <w:t>papaffald, men kommunen vil lade det indgå i sine overvejelser, om det mere hensigtsmæssigt kunne indsamles særskilt.</w:t>
      </w:r>
    </w:p>
    <w:p w14:paraId="5F4A8272" w14:textId="70CBFF09" w:rsidR="005C6EE6" w:rsidRPr="005C6EE6" w:rsidRDefault="005C6EE6" w:rsidP="005C6EE6">
      <w:pPr>
        <w:rPr>
          <w:rFonts w:ascii="Calibri" w:hAnsi="Calibri"/>
        </w:rPr>
      </w:pPr>
      <w:r w:rsidRPr="005C6EE6">
        <w:rPr>
          <w:i/>
          <w:iCs/>
        </w:rPr>
        <w:t>Papaffald:</w:t>
      </w:r>
      <w:r w:rsidRPr="005C6EE6">
        <w:rPr>
          <w:i/>
          <w:iCs/>
        </w:rPr>
        <w:br/>
      </w:r>
      <w:r w:rsidRPr="005C6EE6">
        <w:t xml:space="preserve">Som papiraffald, idet der på omlasteanlægget dog f.s.v.a. særsklit indsamlet </w:t>
      </w:r>
      <w:r w:rsidR="00163F22">
        <w:t xml:space="preserve">fortrinsvis stort </w:t>
      </w:r>
      <w:r w:rsidRPr="005C6EE6">
        <w:t>papaffald også sker en opbalning med henblik på minimering af transportomkostningerne.</w:t>
      </w:r>
    </w:p>
    <w:p w14:paraId="487B4713" w14:textId="64F87F87" w:rsidR="005C6EE6" w:rsidRPr="005C6EE6" w:rsidRDefault="005C6EE6" w:rsidP="005C6EE6">
      <w:pPr>
        <w:rPr>
          <w:rFonts w:ascii="Calibri" w:hAnsi="Calibri"/>
        </w:rPr>
      </w:pPr>
      <w:r w:rsidRPr="005C6EE6">
        <w:rPr>
          <w:i/>
          <w:iCs/>
        </w:rPr>
        <w:t>Glasaffald:</w:t>
      </w:r>
      <w:r w:rsidRPr="005C6EE6">
        <w:rPr>
          <w:i/>
          <w:iCs/>
        </w:rPr>
        <w:br/>
      </w:r>
      <w:r w:rsidRPr="005C6EE6">
        <w:t>Leveres til den aftager, AffaldPlus til enhver tid måtte have indgået aftale med. P.t. således Danbørs, som videre</w:t>
      </w:r>
      <w:r w:rsidR="00171DB7">
        <w:t>formidler</w:t>
      </w:r>
      <w:r w:rsidRPr="005C6EE6">
        <w:t xml:space="preserve"> glasaffaldet til Reiling i Næstved.</w:t>
      </w:r>
    </w:p>
    <w:p w14:paraId="3C6280D0" w14:textId="77777777" w:rsidR="005C6EE6" w:rsidRPr="005C6EE6" w:rsidRDefault="005C6EE6" w:rsidP="005C6EE6">
      <w:pPr>
        <w:rPr>
          <w:rFonts w:ascii="Calibri" w:hAnsi="Calibri"/>
        </w:rPr>
      </w:pPr>
      <w:r w:rsidRPr="005C6EE6">
        <w:rPr>
          <w:i/>
          <w:iCs/>
        </w:rPr>
        <w:t>Metalaffald:</w:t>
      </w:r>
      <w:r w:rsidRPr="005C6EE6">
        <w:rPr>
          <w:i/>
          <w:iCs/>
        </w:rPr>
        <w:br/>
      </w:r>
      <w:r w:rsidRPr="005C6EE6">
        <w:t>Leveres til den aftager, AffaldPlus til enhver tid måtte have indgået aftale med. P.t. således Danbørs.</w:t>
      </w:r>
    </w:p>
    <w:p w14:paraId="29F48E65" w14:textId="68284B06" w:rsidR="005C6EE6" w:rsidRPr="005C6EE6" w:rsidRDefault="005C6EE6" w:rsidP="005C6EE6">
      <w:pPr>
        <w:rPr>
          <w:rFonts w:ascii="Calibri" w:hAnsi="Calibri"/>
        </w:rPr>
      </w:pPr>
      <w:r w:rsidRPr="005C6EE6">
        <w:rPr>
          <w:i/>
          <w:iCs/>
        </w:rPr>
        <w:lastRenderedPageBreak/>
        <w:t>Tekstilaffald:</w:t>
      </w:r>
      <w:r w:rsidRPr="005C6EE6">
        <w:rPr>
          <w:i/>
          <w:iCs/>
        </w:rPr>
        <w:br/>
      </w:r>
      <w:r w:rsidRPr="005C6EE6">
        <w:t>Leveres</w:t>
      </w:r>
      <w:r w:rsidRPr="00171DB7">
        <w:t xml:space="preserve"> </w:t>
      </w:r>
      <w:r w:rsidR="00171DB7" w:rsidRPr="00171DB7">
        <w:t>– med mindre lovgivningen ændres på dette punkt</w:t>
      </w:r>
      <w:r w:rsidR="00171DB7" w:rsidRPr="00171DB7">
        <w:rPr>
          <w:vertAlign w:val="superscript"/>
        </w:rPr>
        <w:footnoteReference w:id="12"/>
      </w:r>
      <w:r w:rsidR="00171DB7" w:rsidRPr="00171DB7">
        <w:t xml:space="preserve"> - </w:t>
      </w:r>
      <w:r w:rsidRPr="00171DB7">
        <w:t xml:space="preserve">til </w:t>
      </w:r>
      <w:r w:rsidRPr="005C6EE6">
        <w:t xml:space="preserve">det af AffaldPlus ejede og drevne forsorteringsanlæg i Næstved med henblik på udsortering til forberedelse for genbrug, materialegenanvendelse eller energinyttiggørelse. En mindre del af det tekstilaffald, der egner sig til forberedelse for genbrug, afsættes så længe dette er muligt via AffaldPlus’ genbrugsbutikker, mens langt størsteparten eksporteres til udlandet. Det samme gælder indtil videre for tekstilaffald til materialenyttiggørelse, mens tekstilaffald til energiudnyttelse energiudnyttes på Næstved Affaldsenergianlæg. </w:t>
      </w:r>
    </w:p>
    <w:p w14:paraId="26078293" w14:textId="387EC41D" w:rsidR="005C6EE6" w:rsidRDefault="005C6EE6" w:rsidP="005C6EE6">
      <w:r w:rsidRPr="005C6EE6">
        <w:rPr>
          <w:i/>
          <w:iCs/>
        </w:rPr>
        <w:t>Farligt affald:</w:t>
      </w:r>
      <w:r w:rsidRPr="005C6EE6">
        <w:rPr>
          <w:i/>
          <w:iCs/>
        </w:rPr>
        <w:br/>
      </w:r>
      <w:r w:rsidRPr="005C6EE6">
        <w:t>Kommunen har p.t. ikke lagt sig fast på indsamlingsformen for farligt affald. Skulle overvejelserne ende med indsamling i dertil indrettede miljøkasser til fælles håndtering, etablerer AffaldPlus en omlastefacilitet for tømning og klargøring af kasserne</w:t>
      </w:r>
      <w:r w:rsidR="004C5B92">
        <w:t>. D</w:t>
      </w:r>
      <w:r w:rsidRPr="005C6EE6">
        <w:t>et farlige affald viderehåndteres af Alfa Specialaffald</w:t>
      </w:r>
      <w:r w:rsidR="004C5B92">
        <w:t>.</w:t>
      </w:r>
    </w:p>
    <w:p w14:paraId="6CFC0E6E" w14:textId="77777777" w:rsidR="00171DB7" w:rsidRPr="00171DB7" w:rsidRDefault="00171DB7" w:rsidP="00171DB7">
      <w:r w:rsidRPr="00171DB7">
        <w:rPr>
          <w:i/>
          <w:iCs/>
        </w:rPr>
        <w:t>Have- parkaffald:</w:t>
      </w:r>
      <w:r w:rsidRPr="00171DB7">
        <w:rPr>
          <w:i/>
          <w:iCs/>
        </w:rPr>
        <w:br/>
      </w:r>
      <w:r w:rsidRPr="00171DB7">
        <w:t>Leveres – medmindre lovgivningen ændres på dette punkt</w:t>
      </w:r>
      <w:r w:rsidRPr="00171DB7">
        <w:rPr>
          <w:vertAlign w:val="superscript"/>
        </w:rPr>
        <w:footnoteReference w:id="13"/>
      </w:r>
      <w:r w:rsidRPr="00171DB7">
        <w:t xml:space="preserve"> - til Næstved Biobrændsel, som er AffaldPlus’ anlæg til udsortering af den vedholdige del til energiudnyttelse på flisfyrede kraft- varmeværker (fremover udelukkende Sorø Bioenergi). Den ’bløde’ del afsættes til markkompostering – dvs. tilføres og nedpløjes ubehandlet på landbrugsjord. Den nationale affaldsplan forvarsler indførelse af miljøbetingede grænseværdier for sådan anvendelse, som – alt afhængig af niveauet for disse – vil kunne være en udfordring for afsætningen.</w:t>
      </w:r>
    </w:p>
    <w:p w14:paraId="0C0DE252" w14:textId="6763ABC9" w:rsidR="00171DB7" w:rsidRPr="00171DB7" w:rsidRDefault="00171DB7" w:rsidP="00171DB7">
      <w:r w:rsidRPr="00171DB7">
        <w:rPr>
          <w:i/>
          <w:iCs/>
        </w:rPr>
        <w:t xml:space="preserve">Øvrigt genanvendeligt affald fra </w:t>
      </w:r>
      <w:r w:rsidR="00386FF0">
        <w:rPr>
          <w:i/>
          <w:iCs/>
        </w:rPr>
        <w:t>g</w:t>
      </w:r>
      <w:r w:rsidRPr="00171DB7">
        <w:rPr>
          <w:i/>
          <w:iCs/>
        </w:rPr>
        <w:t>enbrugspladser:</w:t>
      </w:r>
      <w:r w:rsidRPr="00171DB7">
        <w:rPr>
          <w:i/>
          <w:iCs/>
        </w:rPr>
        <w:br/>
      </w:r>
      <w:r w:rsidRPr="00171DB7">
        <w:t>Hvad angår de mere end 40 affaldstyper og -fraktioner, der indsamles på genbrugspladserne, afsættes de af AffaldPlus på de til enhver tid gældende markedsvilkår, idet dog forbrændings- og deponeringsegnet affald behandles på egne anlæg herfor så længe det er lovgivningsmæssigt muligt, ligesom en del af det affald, der egner sig til forberedelse for genbrug, så længe det er lovgivningsmæssigt muligt, afsættes via AffaldPlus’ genbrugsbyggemarked, genbrugsbutikker og markeder.</w:t>
      </w:r>
    </w:p>
    <w:p w14:paraId="0E018FF3" w14:textId="421F99FD" w:rsidR="00171DB7" w:rsidRDefault="00171DB7" w:rsidP="005C6EE6">
      <w:r w:rsidRPr="00171DB7">
        <w:rPr>
          <w:i/>
          <w:iCs/>
        </w:rPr>
        <w:t>Øvrigt affald:</w:t>
      </w:r>
      <w:r w:rsidRPr="00171DB7">
        <w:rPr>
          <w:i/>
          <w:iCs/>
        </w:rPr>
        <w:br/>
      </w:r>
      <w:r w:rsidRPr="00171DB7">
        <w:t>Hvad angår det affald, kommunen ikke konkret indsamler, men anviser til behandling, anvises forbrændingsegnet affald til behandling på AffaldPlus’ to affaldsenergianlæg – med mindre lovgivningen ændres på dette punkt</w:t>
      </w:r>
      <w:r w:rsidRPr="00171DB7">
        <w:rPr>
          <w:vertAlign w:val="superscript"/>
        </w:rPr>
        <w:footnoteReference w:id="14"/>
      </w:r>
      <w:r w:rsidRPr="00171DB7">
        <w:t xml:space="preserve"> og det deponeringsegnede affald anvises til deponering på AffaldPlus’ to deponeringsanlæg. Øvrigt affald anvises til modtageanlæg, der har miljøgodkendelse til at håndtere det pågældende affald.</w:t>
      </w:r>
    </w:p>
    <w:p w14:paraId="51635560" w14:textId="77777777" w:rsidR="00A84CE0" w:rsidRPr="00A84CE0" w:rsidRDefault="00A84CE0" w:rsidP="005C6EE6"/>
    <w:p w14:paraId="66669D11" w14:textId="2F0B9E4D" w:rsidR="005C6EE6" w:rsidRPr="005C6EE6" w:rsidRDefault="005C6EE6" w:rsidP="006C7D9B">
      <w:pPr>
        <w:pStyle w:val="Overskrift3"/>
      </w:pPr>
      <w:bookmarkStart w:id="270" w:name="_Toc65685152"/>
      <w:bookmarkStart w:id="271" w:name="_Toc66217100"/>
      <w:bookmarkStart w:id="272" w:name="_Toc68083507"/>
      <w:bookmarkStart w:id="273" w:name="_Toc68090440"/>
      <w:bookmarkStart w:id="274" w:name="_Toc68530411"/>
      <w:bookmarkStart w:id="275" w:name="_Toc68582142"/>
      <w:bookmarkStart w:id="276" w:name="_Toc68611323"/>
      <w:bookmarkStart w:id="277" w:name="_Toc69216639"/>
      <w:bookmarkStart w:id="278" w:name="_Toc70950933"/>
      <w:bookmarkStart w:id="279" w:name="_Toc76126063"/>
      <w:bookmarkStart w:id="280" w:name="_Toc85189855"/>
      <w:r w:rsidRPr="005C6EE6">
        <w:t>Perioden 2027-2032</w:t>
      </w:r>
      <w:bookmarkEnd w:id="270"/>
      <w:bookmarkEnd w:id="271"/>
      <w:bookmarkEnd w:id="272"/>
      <w:bookmarkEnd w:id="273"/>
      <w:bookmarkEnd w:id="274"/>
      <w:bookmarkEnd w:id="275"/>
      <w:bookmarkEnd w:id="276"/>
      <w:bookmarkEnd w:id="277"/>
      <w:bookmarkEnd w:id="278"/>
      <w:bookmarkEnd w:id="279"/>
      <w:bookmarkEnd w:id="280"/>
    </w:p>
    <w:p w14:paraId="09A47623" w14:textId="016219EE" w:rsidR="005C6EE6" w:rsidRDefault="005C6EE6" w:rsidP="005C6EE6">
      <w:r w:rsidRPr="005C6EE6">
        <w:t>Kommunen har ikke planer om at ændre på håndteringsformerne i perioden 2027-2032 medmindre lovgivningen til den tid måtte kræve noget andet, eller der måtte opstå nye håndteringsformer, der er miljø-, klima- og ressourcemæssigt mere fordelagtige.</w:t>
      </w:r>
    </w:p>
    <w:p w14:paraId="2B897543" w14:textId="77777777" w:rsidR="003B741D" w:rsidRPr="005C6EE6" w:rsidRDefault="003B741D" w:rsidP="005C6EE6"/>
    <w:p w14:paraId="0554D1D8" w14:textId="3330F5C8" w:rsidR="005C6EE6" w:rsidRPr="005C6EE6" w:rsidRDefault="005C6EE6" w:rsidP="006C7D9B">
      <w:pPr>
        <w:pStyle w:val="Overskrift2"/>
      </w:pPr>
      <w:bookmarkStart w:id="281" w:name="_Toc65581897"/>
      <w:bookmarkStart w:id="282" w:name="_Toc65685153"/>
      <w:bookmarkStart w:id="283" w:name="_Toc66217101"/>
      <w:bookmarkStart w:id="284" w:name="_Toc68083508"/>
      <w:bookmarkStart w:id="285" w:name="_Toc68090441"/>
      <w:bookmarkStart w:id="286" w:name="_Toc68530412"/>
      <w:bookmarkStart w:id="287" w:name="_Toc68582143"/>
      <w:bookmarkStart w:id="288" w:name="_Toc68611324"/>
      <w:bookmarkStart w:id="289" w:name="_Toc69216640"/>
      <w:bookmarkStart w:id="290" w:name="_Toc70950934"/>
      <w:bookmarkStart w:id="291" w:name="_Toc76126064"/>
      <w:bookmarkStart w:id="292" w:name="_Toc85189856"/>
      <w:r w:rsidRPr="005C6EE6">
        <w:t>Hvilke behandlingsanlæg, der planlægges anvendt til håndtering af det affald, som kommunalbestyrelsen indsamler</w:t>
      </w:r>
      <w:bookmarkEnd w:id="281"/>
      <w:bookmarkEnd w:id="282"/>
      <w:bookmarkEnd w:id="283"/>
      <w:bookmarkEnd w:id="284"/>
      <w:bookmarkEnd w:id="285"/>
      <w:bookmarkEnd w:id="286"/>
      <w:bookmarkEnd w:id="287"/>
      <w:bookmarkEnd w:id="288"/>
      <w:bookmarkEnd w:id="289"/>
      <w:bookmarkEnd w:id="290"/>
      <w:bookmarkEnd w:id="291"/>
      <w:bookmarkEnd w:id="292"/>
    </w:p>
    <w:p w14:paraId="2202F6A1" w14:textId="77777777" w:rsidR="005C6EE6" w:rsidRPr="005C6EE6" w:rsidRDefault="005C6EE6" w:rsidP="005C6EE6"/>
    <w:p w14:paraId="66BC49F0" w14:textId="41A2C31D" w:rsidR="005C6EE6" w:rsidRPr="005C6EE6" w:rsidRDefault="005C6EE6" w:rsidP="006C7D9B">
      <w:pPr>
        <w:pStyle w:val="Overskrift3"/>
      </w:pPr>
      <w:bookmarkStart w:id="293" w:name="_Toc65685154"/>
      <w:bookmarkStart w:id="294" w:name="_Toc66217102"/>
      <w:bookmarkStart w:id="295" w:name="_Toc68083509"/>
      <w:bookmarkStart w:id="296" w:name="_Toc68090442"/>
      <w:bookmarkStart w:id="297" w:name="_Toc68530413"/>
      <w:bookmarkStart w:id="298" w:name="_Toc68582144"/>
      <w:bookmarkStart w:id="299" w:name="_Toc68611325"/>
      <w:bookmarkStart w:id="300" w:name="_Toc69216641"/>
      <w:bookmarkStart w:id="301" w:name="_Toc70950935"/>
      <w:bookmarkStart w:id="302" w:name="_Toc76126065"/>
      <w:bookmarkStart w:id="303" w:name="_Toc85189857"/>
      <w:r w:rsidRPr="005C6EE6">
        <w:t>Perioden 2021-2026</w:t>
      </w:r>
      <w:bookmarkEnd w:id="293"/>
      <w:bookmarkEnd w:id="294"/>
      <w:bookmarkEnd w:id="295"/>
      <w:bookmarkEnd w:id="296"/>
      <w:bookmarkEnd w:id="297"/>
      <w:bookmarkEnd w:id="298"/>
      <w:bookmarkEnd w:id="299"/>
      <w:bookmarkEnd w:id="300"/>
      <w:bookmarkEnd w:id="301"/>
      <w:bookmarkEnd w:id="302"/>
      <w:bookmarkEnd w:id="303"/>
    </w:p>
    <w:p w14:paraId="606D7904" w14:textId="77777777" w:rsidR="005C6EE6" w:rsidRPr="005C6EE6" w:rsidRDefault="005C6EE6" w:rsidP="005C6EE6">
      <w:r w:rsidRPr="005C6EE6">
        <w:t>Der henvises til afsnit 4.3.1.</w:t>
      </w:r>
    </w:p>
    <w:p w14:paraId="62C87FD1" w14:textId="081D92AA" w:rsidR="005C6EE6" w:rsidRPr="005C6EE6" w:rsidRDefault="005C6EE6" w:rsidP="00C72B9F">
      <w:pPr>
        <w:pStyle w:val="Overskrift3"/>
      </w:pPr>
      <w:bookmarkStart w:id="304" w:name="_Toc65685155"/>
      <w:bookmarkStart w:id="305" w:name="_Toc66217103"/>
      <w:bookmarkStart w:id="306" w:name="_Toc68083510"/>
      <w:bookmarkStart w:id="307" w:name="_Toc68090443"/>
      <w:bookmarkStart w:id="308" w:name="_Toc68530414"/>
      <w:bookmarkStart w:id="309" w:name="_Toc68582145"/>
      <w:bookmarkStart w:id="310" w:name="_Toc68611326"/>
      <w:bookmarkStart w:id="311" w:name="_Toc69216642"/>
      <w:bookmarkStart w:id="312" w:name="_Toc70950936"/>
      <w:bookmarkStart w:id="313" w:name="_Toc76126066"/>
      <w:bookmarkStart w:id="314" w:name="_Toc85189858"/>
      <w:r w:rsidRPr="005C6EE6">
        <w:t>Perioden 2027-2032</w:t>
      </w:r>
      <w:bookmarkEnd w:id="304"/>
      <w:bookmarkEnd w:id="305"/>
      <w:bookmarkEnd w:id="306"/>
      <w:bookmarkEnd w:id="307"/>
      <w:bookmarkEnd w:id="308"/>
      <w:bookmarkEnd w:id="309"/>
      <w:bookmarkEnd w:id="310"/>
      <w:bookmarkEnd w:id="311"/>
      <w:bookmarkEnd w:id="312"/>
      <w:bookmarkEnd w:id="313"/>
      <w:bookmarkEnd w:id="314"/>
    </w:p>
    <w:p w14:paraId="40DC6E4F" w14:textId="77777777" w:rsidR="005C6EE6" w:rsidRPr="005C6EE6" w:rsidRDefault="005C6EE6" w:rsidP="005C6EE6">
      <w:r w:rsidRPr="005C6EE6">
        <w:t>Der henvises til afsnit 4.3.2.</w:t>
      </w:r>
    </w:p>
    <w:p w14:paraId="6380B06D" w14:textId="77777777" w:rsidR="005C6EE6" w:rsidRPr="005C6EE6" w:rsidRDefault="005C6EE6" w:rsidP="005C6EE6"/>
    <w:p w14:paraId="5AFD3CBB" w14:textId="6A2BB9D8" w:rsidR="005C6EE6" w:rsidRPr="005C6EE6" w:rsidRDefault="005C6EE6" w:rsidP="00C72B9F">
      <w:pPr>
        <w:pStyle w:val="Overskrift2"/>
      </w:pPr>
      <w:bookmarkStart w:id="315" w:name="_Toc65581898"/>
      <w:bookmarkStart w:id="316" w:name="_Toc65685156"/>
      <w:bookmarkStart w:id="317" w:name="_Toc66217104"/>
      <w:bookmarkStart w:id="318" w:name="_Toc68083511"/>
      <w:bookmarkStart w:id="319" w:name="_Toc68090444"/>
      <w:bookmarkStart w:id="320" w:name="_Toc68530415"/>
      <w:bookmarkStart w:id="321" w:name="_Toc68582146"/>
      <w:bookmarkStart w:id="322" w:name="_Toc68611327"/>
      <w:bookmarkStart w:id="323" w:name="_Toc69216643"/>
      <w:bookmarkStart w:id="324" w:name="_Toc70950937"/>
      <w:bookmarkStart w:id="325" w:name="_Toc76126067"/>
      <w:bookmarkStart w:id="326" w:name="_Toc85189859"/>
      <w:r w:rsidRPr="005C6EE6">
        <w:t>Deponerings- og forbrændingskapacitet</w:t>
      </w:r>
      <w:bookmarkEnd w:id="315"/>
      <w:bookmarkEnd w:id="316"/>
      <w:bookmarkEnd w:id="317"/>
      <w:bookmarkEnd w:id="318"/>
      <w:bookmarkEnd w:id="319"/>
      <w:bookmarkEnd w:id="320"/>
      <w:bookmarkEnd w:id="321"/>
      <w:bookmarkEnd w:id="322"/>
      <w:bookmarkEnd w:id="323"/>
      <w:bookmarkEnd w:id="324"/>
      <w:bookmarkEnd w:id="325"/>
      <w:bookmarkEnd w:id="326"/>
      <w:r w:rsidRPr="005C6EE6">
        <w:br/>
      </w:r>
    </w:p>
    <w:p w14:paraId="400FCACB" w14:textId="43A53716" w:rsidR="005C6EE6" w:rsidRPr="005C6EE6" w:rsidRDefault="005C6EE6" w:rsidP="00C72B9F">
      <w:pPr>
        <w:pStyle w:val="Overskrift3"/>
      </w:pPr>
      <w:bookmarkStart w:id="327" w:name="_Toc68530416"/>
      <w:bookmarkStart w:id="328" w:name="_Toc68582147"/>
      <w:bookmarkStart w:id="329" w:name="_Toc68611328"/>
      <w:bookmarkStart w:id="330" w:name="_Toc69216644"/>
      <w:bookmarkStart w:id="331" w:name="_Toc70950938"/>
      <w:bookmarkStart w:id="332" w:name="_Toc76126068"/>
      <w:bookmarkStart w:id="333" w:name="_Toc85189860"/>
      <w:r w:rsidRPr="005C6EE6">
        <w:t>Deponeringskapacitet</w:t>
      </w:r>
      <w:bookmarkStart w:id="334" w:name="_Hlk68583356"/>
      <w:bookmarkEnd w:id="327"/>
      <w:bookmarkEnd w:id="328"/>
      <w:bookmarkEnd w:id="329"/>
      <w:bookmarkEnd w:id="330"/>
      <w:bookmarkEnd w:id="331"/>
      <w:bookmarkEnd w:id="332"/>
      <w:bookmarkEnd w:id="333"/>
    </w:p>
    <w:p w14:paraId="38E3A710" w14:textId="77777777" w:rsidR="005C6EE6" w:rsidRPr="005C6EE6" w:rsidRDefault="005C6EE6" w:rsidP="005C6EE6">
      <w:r w:rsidRPr="005C6EE6">
        <w:t>AffaldPlus råder over to deponeringsanlæg i hhv. Vordingborg og Slagelse:</w:t>
      </w:r>
    </w:p>
    <w:p w14:paraId="108CD813" w14:textId="77777777" w:rsidR="005C6EE6" w:rsidRPr="005C6EE6" w:rsidRDefault="005C6EE6" w:rsidP="005C6EE6">
      <w:r w:rsidRPr="005C6EE6">
        <w:t>Faxe Miljøanlæg (FAM): Restkapacitet på 1,1 mio. m3.</w:t>
      </w:r>
    </w:p>
    <w:p w14:paraId="0649FA6B" w14:textId="77777777" w:rsidR="005C6EE6" w:rsidRPr="005C6EE6" w:rsidRDefault="005C6EE6" w:rsidP="005C6EE6">
      <w:r w:rsidRPr="005C6EE6">
        <w:t>Forlev Miljøanlæg (FOM): Restkapacitet på 0,235 mio. m3.</w:t>
      </w:r>
    </w:p>
    <w:p w14:paraId="5F18801C" w14:textId="77777777" w:rsidR="005C6EE6" w:rsidRPr="005C6EE6" w:rsidRDefault="005C6EE6" w:rsidP="005C6EE6">
      <w:r w:rsidRPr="005C6EE6">
        <w:t xml:space="preserve">Sammenlagt er der således en deponeringskapacitet på 1,335 mio. m3, hvilket svarer til det samme antal ton (1 ton deponiaffald fylder således som tommelfingerregel 1 m3 efter udlægning og kompaktering), og med de aktuelt 11-13.000 ton (heraf lige godt halvdelen asbest), der deponeres om året, og som forventes at holde sig på dette niveau til 2032, er der teoretisk tilstrækkelig deponeringskapacitet for AffaldPlus-kommunerne i 100 år frem i tiden. </w:t>
      </w:r>
    </w:p>
    <w:p w14:paraId="49F79693" w14:textId="756EECAE" w:rsidR="005C6EE6" w:rsidRDefault="005C6EE6" w:rsidP="005C6EE6">
      <w:r w:rsidRPr="005C6EE6">
        <w:t>Det skal bemærkes, at deponeringsmængderne er faldet drastisk de senere år (således fra 22.000 ton i 2011 til 13.000 ton i 2020), men at dette fald ikke kan forventes fortsat i samme takt. Faldet skyldes således især øget vejledningsindsats på genbrugspladserne, som næppe kan føre til yderligere reduktioner, og tvært imod taler erkendelsen af forekomsten af PCB og andre farlige stoffer i bygge- og anlægsaffaldet for, at deponeringsmængderne vil stige en anelse pr. indbygger.</w:t>
      </w:r>
    </w:p>
    <w:p w14:paraId="3B7AD75B" w14:textId="77777777" w:rsidR="003B741D" w:rsidRPr="005C6EE6" w:rsidRDefault="003B741D" w:rsidP="005C6EE6"/>
    <w:p w14:paraId="3A586E87" w14:textId="5E5AB432" w:rsidR="005C6EE6" w:rsidRPr="005C6EE6" w:rsidRDefault="005C6EE6" w:rsidP="00C72B9F">
      <w:pPr>
        <w:pStyle w:val="Overskrift3"/>
      </w:pPr>
      <w:bookmarkStart w:id="335" w:name="_Toc68530417"/>
      <w:bookmarkStart w:id="336" w:name="_Toc68582148"/>
      <w:bookmarkStart w:id="337" w:name="_Toc68611329"/>
      <w:bookmarkStart w:id="338" w:name="_Toc69216645"/>
      <w:bookmarkStart w:id="339" w:name="_Toc70950939"/>
      <w:bookmarkStart w:id="340" w:name="_Toc76126069"/>
      <w:bookmarkStart w:id="341" w:name="_Toc85189861"/>
      <w:bookmarkEnd w:id="334"/>
      <w:r w:rsidRPr="005C6EE6">
        <w:t>Forbrændingskapacitet</w:t>
      </w:r>
      <w:bookmarkStart w:id="342" w:name="_Hlk68583739"/>
      <w:bookmarkEnd w:id="335"/>
      <w:bookmarkEnd w:id="336"/>
      <w:bookmarkEnd w:id="337"/>
      <w:bookmarkEnd w:id="338"/>
      <w:bookmarkEnd w:id="339"/>
      <w:bookmarkEnd w:id="340"/>
      <w:bookmarkEnd w:id="341"/>
    </w:p>
    <w:p w14:paraId="6D9504CF" w14:textId="77777777" w:rsidR="005C6EE6" w:rsidRPr="005C6EE6" w:rsidRDefault="005C6EE6" w:rsidP="005C6EE6">
      <w:r w:rsidRPr="005C6EE6">
        <w:t xml:space="preserve">Kommunen råder gennem sit fælleskommunale affaldsselskab, AffaldPlus, over to affaldsenergianlæg i henholdsvis Næstved og Slagelse. </w:t>
      </w:r>
    </w:p>
    <w:p w14:paraId="08E67C41" w14:textId="362A71D4" w:rsidR="005C6EE6" w:rsidRPr="00236EE4" w:rsidRDefault="005C6EE6" w:rsidP="005C6EE6">
      <w:r w:rsidRPr="00236EE4">
        <w:t>AffaldPlus’ bestyrelse har i 2020 som led i kapacitetstilpasningen og under hensyntagen til varmeforsyningsforpligtelserne indgivet ansøgning om nedlukning af Slagelse Affaldsenergianlæg i 2030.</w:t>
      </w:r>
      <w:r w:rsidR="00236EE4">
        <w:t xml:space="preserve"> Der er dog igangværende forhandlinger om nedlukning af anlægget før.</w:t>
      </w:r>
    </w:p>
    <w:p w14:paraId="0D397141" w14:textId="77777777" w:rsidR="005C6EE6" w:rsidRPr="005C6EE6" w:rsidRDefault="005C6EE6" w:rsidP="005C6EE6">
      <w:r w:rsidRPr="005C6EE6">
        <w:t>Den såkaldt tekniske kapacitet (den mængde, som anlægget er godkendt til at brænde under givne forudsætninger om affaldets nedre brændværdi og uden udetid til vedligehold) er på Næstved Affaldsenergianlæg 155.000 ton/år og på Slagelse Affaldsenergianlæg 48.000 ton/år.</w:t>
      </w:r>
    </w:p>
    <w:p w14:paraId="6FBA8175" w14:textId="77777777" w:rsidR="005C6EE6" w:rsidRPr="005C6EE6" w:rsidRDefault="005C6EE6" w:rsidP="005C6EE6">
      <w:r w:rsidRPr="005C6EE6">
        <w:lastRenderedPageBreak/>
        <w:t>Med den forhøjede nedre brændværdi, affaldet har opnået som følge af udsorteringen af ca. 20.000 ton madaffald om året, og under hensyntagen til årligt vedligehold m.v. er den faktiske (dvs. den i praksis mulige) kapacitet på hhv. ~130.000 ton/år på Næstved affaldsenergianlæg og ~40.000 ton/år på Slagelse Affaldsenergianlæg, eller altså sammenlagt ~170.000 ton/år frem til 2030.</w:t>
      </w:r>
    </w:p>
    <w:p w14:paraId="61056435" w14:textId="77777777" w:rsidR="005C6EE6" w:rsidRPr="005C6EE6" w:rsidRDefault="005C6EE6" w:rsidP="005C6EE6">
      <w:r w:rsidRPr="005C6EE6">
        <w:t xml:space="preserve">Det skal sammenholdes med en samlet, forbrændt mængde kommunalt affald (dvs. restaffald fra husholdninger samt forbrændingsegnet affald fra genbrugspladserne) i 2020 på i størrelsesordenen 80.330 ton + 44.320 erhvervsaffald, som kommunerne har anvisningsforpligtelser for, eller i alt 124.650 ton. </w:t>
      </w:r>
    </w:p>
    <w:p w14:paraId="26E22517" w14:textId="77777777" w:rsidR="005C6EE6" w:rsidRPr="005C6EE6" w:rsidRDefault="005C6EE6" w:rsidP="005C6EE6">
      <w:r w:rsidRPr="005C6EE6">
        <w:t>Med henblik på at opfylde varmeforsyningsforpligtelserne og for at sikre en økonomisk optimal udnyttelse af forbrændingskapaciteten importeredes i 2020 yderligere 42.500 ton affald.</w:t>
      </w:r>
    </w:p>
    <w:p w14:paraId="4CB5A30B" w14:textId="77777777" w:rsidR="005C6EE6" w:rsidRPr="005C6EE6" w:rsidRDefault="005C6EE6" w:rsidP="005C6EE6">
      <w:pPr>
        <w:rPr>
          <w:i/>
          <w:iCs/>
        </w:rPr>
      </w:pPr>
      <w:r w:rsidRPr="005C6EE6">
        <w:t xml:space="preserve">Se i øvrigt </w:t>
      </w:r>
      <w:r w:rsidRPr="005C6EE6">
        <w:rPr>
          <w:i/>
          <w:iCs/>
        </w:rPr>
        <w:t>Tabel 4.2.</w:t>
      </w:r>
    </w:p>
    <w:p w14:paraId="6F3CC5F8" w14:textId="77777777" w:rsidR="005C6EE6" w:rsidRPr="00386FF0" w:rsidRDefault="005C6EE6" w:rsidP="005C6EE6">
      <w:pPr>
        <w:rPr>
          <w:i/>
          <w:iCs/>
        </w:rPr>
      </w:pPr>
      <w:r w:rsidRPr="00386FF0">
        <w:rPr>
          <w:i/>
          <w:iCs/>
        </w:rPr>
        <w:t>Tabel 4.2. Forbrændte mængder i 2017-2020 på AffaldPlus’ to affaldsenergianlæg opdelt på kommunalt affald (restaffald + forbrændingsegnet affald fra genbrugspladser), erhvervsaffald (affald, som kommunerne har anvisningsforpligtelser overfor) og importeret affald, sammenholdt med den faktiske kapacitet.</w:t>
      </w:r>
    </w:p>
    <w:tbl>
      <w:tblPr>
        <w:tblW w:w="6428" w:type="dxa"/>
        <w:tblCellMar>
          <w:left w:w="10" w:type="dxa"/>
          <w:right w:w="10" w:type="dxa"/>
        </w:tblCellMar>
        <w:tblLook w:val="0000" w:firstRow="0" w:lastRow="0" w:firstColumn="0" w:lastColumn="0" w:noHBand="0" w:noVBand="0"/>
      </w:tblPr>
      <w:tblGrid>
        <w:gridCol w:w="2263"/>
        <w:gridCol w:w="1136"/>
        <w:gridCol w:w="1136"/>
        <w:gridCol w:w="1136"/>
        <w:gridCol w:w="1136"/>
      </w:tblGrid>
      <w:tr w:rsidR="005C6EE6" w:rsidRPr="005C6EE6" w14:paraId="00DC6259" w14:textId="77777777" w:rsidTr="005C6EE6">
        <w:trPr>
          <w:trHeight w:val="288"/>
        </w:trPr>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83A74B" w14:textId="77777777" w:rsidR="005C6EE6" w:rsidRPr="005C6EE6" w:rsidRDefault="005C6EE6" w:rsidP="005C6EE6"/>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B5A6D0" w14:textId="77777777" w:rsidR="005C6EE6" w:rsidRPr="005C6EE6" w:rsidRDefault="005C6EE6" w:rsidP="005C6EE6">
            <w:r w:rsidRPr="005C6EE6">
              <w:t>2017</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CD46BD" w14:textId="77777777" w:rsidR="005C6EE6" w:rsidRPr="005C6EE6" w:rsidRDefault="005C6EE6" w:rsidP="005C6EE6">
            <w:r w:rsidRPr="005C6EE6">
              <w:t>2018</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F1F9DF1" w14:textId="77777777" w:rsidR="005C6EE6" w:rsidRPr="005C6EE6" w:rsidRDefault="005C6EE6" w:rsidP="005C6EE6">
            <w:r w:rsidRPr="005C6EE6">
              <w:t>2019</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FB2C39" w14:textId="77777777" w:rsidR="005C6EE6" w:rsidRPr="005C6EE6" w:rsidRDefault="005C6EE6" w:rsidP="005C6EE6">
            <w:r w:rsidRPr="005C6EE6">
              <w:t>2020</w:t>
            </w:r>
          </w:p>
        </w:tc>
      </w:tr>
      <w:tr w:rsidR="005C6EE6" w:rsidRPr="005C6EE6" w14:paraId="159CDB8C" w14:textId="77777777" w:rsidTr="005C6EE6">
        <w:trPr>
          <w:trHeight w:val="288"/>
        </w:trPr>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B5A96E" w14:textId="77777777" w:rsidR="005C6EE6" w:rsidRPr="005C6EE6" w:rsidRDefault="005C6EE6" w:rsidP="005C6EE6">
            <w:r w:rsidRPr="005C6EE6">
              <w:t>Kommunalt affald</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31A42C" w14:textId="77777777" w:rsidR="005C6EE6" w:rsidRPr="005C6EE6" w:rsidRDefault="005C6EE6" w:rsidP="005C6EE6">
            <w:r w:rsidRPr="005C6EE6">
              <w:t xml:space="preserve">101.461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740EB3" w14:textId="77777777" w:rsidR="005C6EE6" w:rsidRPr="005C6EE6" w:rsidRDefault="005C6EE6" w:rsidP="005C6EE6">
            <w:r w:rsidRPr="005C6EE6">
              <w:t xml:space="preserve"> 91.802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64E1F7" w14:textId="77777777" w:rsidR="005C6EE6" w:rsidRPr="005C6EE6" w:rsidRDefault="005C6EE6" w:rsidP="005C6EE6">
            <w:r w:rsidRPr="005C6EE6">
              <w:t xml:space="preserve"> 76.132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3D7ACE" w14:textId="77777777" w:rsidR="005C6EE6" w:rsidRPr="005C6EE6" w:rsidRDefault="005C6EE6" w:rsidP="005C6EE6">
            <w:r w:rsidRPr="005C6EE6">
              <w:t xml:space="preserve"> 80.327 </w:t>
            </w:r>
          </w:p>
        </w:tc>
      </w:tr>
      <w:tr w:rsidR="005C6EE6" w:rsidRPr="005C6EE6" w14:paraId="5EBA81FC" w14:textId="77777777" w:rsidTr="005C6EE6">
        <w:trPr>
          <w:trHeight w:val="288"/>
        </w:trPr>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D9F51DE" w14:textId="77777777" w:rsidR="005C6EE6" w:rsidRPr="005C6EE6" w:rsidRDefault="005C6EE6" w:rsidP="005C6EE6">
            <w:r w:rsidRPr="005C6EE6">
              <w:t>Erhvervsaffald</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147A7B" w14:textId="77777777" w:rsidR="005C6EE6" w:rsidRPr="005C6EE6" w:rsidRDefault="005C6EE6" w:rsidP="005C6EE6">
            <w:r w:rsidRPr="005C6EE6">
              <w:t xml:space="preserve"> 65.159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AB8970" w14:textId="77777777" w:rsidR="005C6EE6" w:rsidRPr="005C6EE6" w:rsidRDefault="005C6EE6" w:rsidP="005C6EE6">
            <w:r w:rsidRPr="005C6EE6">
              <w:t xml:space="preserve"> 45.652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FC475D7" w14:textId="77777777" w:rsidR="005C6EE6" w:rsidRPr="005C6EE6" w:rsidRDefault="005C6EE6" w:rsidP="005C6EE6">
            <w:r w:rsidRPr="005C6EE6">
              <w:t xml:space="preserve"> 51.724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E97F03" w14:textId="77777777" w:rsidR="005C6EE6" w:rsidRPr="005C6EE6" w:rsidRDefault="005C6EE6" w:rsidP="005C6EE6">
            <w:r w:rsidRPr="005C6EE6">
              <w:t xml:space="preserve"> 44.316 </w:t>
            </w:r>
          </w:p>
        </w:tc>
      </w:tr>
      <w:tr w:rsidR="005C6EE6" w:rsidRPr="005C6EE6" w14:paraId="14283BCA" w14:textId="77777777" w:rsidTr="005C6EE6">
        <w:trPr>
          <w:trHeight w:val="288"/>
        </w:trPr>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198FF7" w14:textId="77777777" w:rsidR="005C6EE6" w:rsidRPr="005C6EE6" w:rsidRDefault="005C6EE6" w:rsidP="005C6EE6">
            <w:r w:rsidRPr="005C6EE6">
              <w:t>Import</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B4D464" w14:textId="77777777" w:rsidR="005C6EE6" w:rsidRPr="005C6EE6" w:rsidRDefault="005C6EE6" w:rsidP="005C6EE6">
            <w:r w:rsidRPr="005C6EE6">
              <w:t xml:space="preserve"> 0</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44DC1D" w14:textId="77777777" w:rsidR="005C6EE6" w:rsidRPr="005C6EE6" w:rsidRDefault="005C6EE6" w:rsidP="005C6EE6">
            <w:r w:rsidRPr="005C6EE6">
              <w:t xml:space="preserve"> 22.538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BD31ED" w14:textId="77777777" w:rsidR="005C6EE6" w:rsidRPr="005C6EE6" w:rsidRDefault="005C6EE6" w:rsidP="005C6EE6">
            <w:r w:rsidRPr="005C6EE6">
              <w:t xml:space="preserve"> 33.824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3158CB" w14:textId="77777777" w:rsidR="005C6EE6" w:rsidRPr="005C6EE6" w:rsidRDefault="005C6EE6" w:rsidP="005C6EE6">
            <w:r w:rsidRPr="005C6EE6">
              <w:t xml:space="preserve"> 42.500 </w:t>
            </w:r>
          </w:p>
        </w:tc>
      </w:tr>
      <w:tr w:rsidR="005C6EE6" w:rsidRPr="005C6EE6" w14:paraId="52C6E830" w14:textId="77777777" w:rsidTr="005C6EE6">
        <w:trPr>
          <w:trHeight w:val="288"/>
        </w:trPr>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8A7844" w14:textId="77777777" w:rsidR="005C6EE6" w:rsidRPr="005C6EE6" w:rsidRDefault="005C6EE6" w:rsidP="005C6EE6">
            <w:r w:rsidRPr="005C6EE6">
              <w:t xml:space="preserve"> I alt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34B845" w14:textId="77777777" w:rsidR="005C6EE6" w:rsidRPr="005C6EE6" w:rsidRDefault="005C6EE6" w:rsidP="005C6EE6">
            <w:r w:rsidRPr="005C6EE6">
              <w:t xml:space="preserve">166.620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8E1AAA" w14:textId="77777777" w:rsidR="005C6EE6" w:rsidRPr="005C6EE6" w:rsidRDefault="005C6EE6" w:rsidP="005C6EE6">
            <w:r w:rsidRPr="005C6EE6">
              <w:t xml:space="preserve">159.992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A1BF4E" w14:textId="77777777" w:rsidR="005C6EE6" w:rsidRPr="005C6EE6" w:rsidRDefault="005C6EE6" w:rsidP="005C6EE6">
            <w:r w:rsidRPr="005C6EE6">
              <w:t xml:space="preserve">161.680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34DB1E" w14:textId="77777777" w:rsidR="005C6EE6" w:rsidRPr="005C6EE6" w:rsidRDefault="005C6EE6" w:rsidP="005C6EE6">
            <w:r w:rsidRPr="005C6EE6">
              <w:t xml:space="preserve">167.143 </w:t>
            </w:r>
          </w:p>
        </w:tc>
      </w:tr>
      <w:tr w:rsidR="005C6EE6" w:rsidRPr="005C6EE6" w14:paraId="4136BAA1" w14:textId="77777777" w:rsidTr="005C6EE6">
        <w:trPr>
          <w:trHeight w:val="288"/>
        </w:trPr>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C64E8F" w14:textId="77777777" w:rsidR="005C6EE6" w:rsidRPr="005C6EE6" w:rsidRDefault="005C6EE6" w:rsidP="005C6EE6">
            <w:r w:rsidRPr="005C6EE6">
              <w:t>Faktisk kapacitet</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C0849C" w14:textId="77777777" w:rsidR="005C6EE6" w:rsidRPr="005C6EE6" w:rsidRDefault="005C6EE6" w:rsidP="005C6EE6">
            <w:r w:rsidRPr="005C6EE6">
              <w:t xml:space="preserve">170.000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AC4B82" w14:textId="77777777" w:rsidR="005C6EE6" w:rsidRPr="005C6EE6" w:rsidRDefault="005C6EE6" w:rsidP="005C6EE6">
            <w:r w:rsidRPr="005C6EE6">
              <w:t xml:space="preserve">170.000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1D99736" w14:textId="77777777" w:rsidR="005C6EE6" w:rsidRPr="005C6EE6" w:rsidRDefault="005C6EE6" w:rsidP="005C6EE6">
            <w:r w:rsidRPr="005C6EE6">
              <w:t xml:space="preserve">170.000 </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8ADC6B" w14:textId="77777777" w:rsidR="005C6EE6" w:rsidRPr="005C6EE6" w:rsidRDefault="005C6EE6" w:rsidP="005C6EE6">
            <w:r w:rsidRPr="005C6EE6">
              <w:t xml:space="preserve">170.000 </w:t>
            </w:r>
          </w:p>
        </w:tc>
      </w:tr>
    </w:tbl>
    <w:p w14:paraId="6BA29072" w14:textId="77777777" w:rsidR="005C6EE6" w:rsidRPr="005C6EE6" w:rsidRDefault="005C6EE6" w:rsidP="005C6EE6"/>
    <w:p w14:paraId="568C5D13" w14:textId="77777777" w:rsidR="005C6EE6" w:rsidRPr="005C6EE6" w:rsidRDefault="005C6EE6" w:rsidP="005C6EE6">
      <w:r w:rsidRPr="005C6EE6">
        <w:t xml:space="preserve">Det skal bemærkes, at mængderne af erhvervsaffald til forbrænding, som kommunerne har anvisningsforpligtelser overfor, i 2020 lå relativt lavt – formentlig på grund af nedsat erhvervsaktivitet som følge af Covid-19-pandemien. </w:t>
      </w:r>
    </w:p>
    <w:p w14:paraId="61DB7EE3" w14:textId="4984CF0F" w:rsidR="005C6EE6" w:rsidRDefault="005C6EE6" w:rsidP="005C6EE6">
      <w:r w:rsidRPr="005C6EE6">
        <w:t>Erhvervsaffaldsmængderne de foregående år har ligget på mellem 45.700 og 65.200 ton.</w:t>
      </w:r>
    </w:p>
    <w:p w14:paraId="02B38C4B" w14:textId="77777777" w:rsidR="00976130" w:rsidRPr="00976130" w:rsidRDefault="00976130" w:rsidP="00976130">
      <w:r w:rsidRPr="00976130">
        <w:t>Ved fuld erhvervsaffaldsmængde (65.200 ton/år) og med uændrede mængder af kommunalt affald (80.330 ton/år) vil kapacitetsbehovet i 2030 ligge på i størrelsesordenen 145.530 ton, eller altså 15.500 ton over den faktiske kapacitet, som til den tid vil være 130.000 ton.</w:t>
      </w:r>
    </w:p>
    <w:p w14:paraId="55D35A76" w14:textId="77777777" w:rsidR="005C6EE6" w:rsidRPr="005C6EE6" w:rsidRDefault="005C6EE6" w:rsidP="005C6EE6">
      <w:r w:rsidRPr="005C6EE6">
        <w:t xml:space="preserve">Som det fremgår af afsnit 4.3. forventes nærværende affaldsplan imidlertid at føre til en reduktion af behovet for forbrændingskapacitet, der forventes at matche den faktiske kapacitet i 2030. </w:t>
      </w:r>
      <w:r w:rsidRPr="005C6EE6">
        <w:br/>
      </w:r>
    </w:p>
    <w:p w14:paraId="28423ED4" w14:textId="2E5B934C" w:rsidR="005C6EE6" w:rsidRPr="005C6EE6" w:rsidRDefault="005C6EE6" w:rsidP="00C72B9F">
      <w:pPr>
        <w:pStyle w:val="Overskrift2"/>
      </w:pPr>
      <w:bookmarkStart w:id="343" w:name="_Toc65581899"/>
      <w:bookmarkStart w:id="344" w:name="_Toc65685157"/>
      <w:bookmarkStart w:id="345" w:name="_Toc66217105"/>
      <w:bookmarkStart w:id="346" w:name="_Toc68083512"/>
      <w:bookmarkStart w:id="347" w:name="_Toc68090445"/>
      <w:bookmarkStart w:id="348" w:name="_Toc68530418"/>
      <w:bookmarkStart w:id="349" w:name="_Toc68582149"/>
      <w:bookmarkStart w:id="350" w:name="_Toc68611330"/>
      <w:bookmarkStart w:id="351" w:name="_Toc69216646"/>
      <w:bookmarkStart w:id="352" w:name="_Toc70950940"/>
      <w:bookmarkStart w:id="353" w:name="_Toc76126070"/>
      <w:bookmarkStart w:id="354" w:name="_Toc85189862"/>
      <w:bookmarkEnd w:id="342"/>
      <w:r w:rsidRPr="005C6EE6">
        <w:t>Planens økonomiske konsekvenser</w:t>
      </w:r>
      <w:bookmarkEnd w:id="343"/>
      <w:bookmarkEnd w:id="344"/>
      <w:bookmarkEnd w:id="345"/>
      <w:bookmarkEnd w:id="346"/>
      <w:bookmarkEnd w:id="347"/>
      <w:bookmarkEnd w:id="348"/>
      <w:bookmarkEnd w:id="349"/>
      <w:bookmarkEnd w:id="350"/>
      <w:bookmarkEnd w:id="351"/>
      <w:bookmarkEnd w:id="352"/>
      <w:bookmarkEnd w:id="353"/>
      <w:bookmarkEnd w:id="354"/>
    </w:p>
    <w:p w14:paraId="10711C51" w14:textId="57FAD1EE" w:rsidR="005C6EE6" w:rsidRPr="005C6EE6" w:rsidRDefault="005C6EE6" w:rsidP="00C72B9F">
      <w:pPr>
        <w:pStyle w:val="Overskrift3"/>
      </w:pPr>
      <w:bookmarkStart w:id="355" w:name="_Toc65685158"/>
      <w:bookmarkStart w:id="356" w:name="_Toc66217106"/>
      <w:bookmarkStart w:id="357" w:name="_Toc68083513"/>
      <w:bookmarkStart w:id="358" w:name="_Toc68090446"/>
      <w:bookmarkStart w:id="359" w:name="_Toc68530419"/>
      <w:bookmarkStart w:id="360" w:name="_Toc68582150"/>
      <w:bookmarkStart w:id="361" w:name="_Toc68611331"/>
      <w:bookmarkStart w:id="362" w:name="_Toc69216647"/>
      <w:bookmarkStart w:id="363" w:name="_Toc70950941"/>
      <w:bookmarkStart w:id="364" w:name="_Toc76126071"/>
      <w:bookmarkStart w:id="365" w:name="_Toc85189863"/>
      <w:r w:rsidRPr="005C6EE6">
        <w:t>Perioden 2021-2026</w:t>
      </w:r>
      <w:bookmarkStart w:id="366" w:name="_Toc65685159"/>
      <w:bookmarkStart w:id="367" w:name="_Toc66217107"/>
      <w:bookmarkStart w:id="368" w:name="_Toc68083514"/>
      <w:bookmarkStart w:id="369" w:name="_Toc68090447"/>
      <w:bookmarkStart w:id="370" w:name="_Toc68530420"/>
      <w:bookmarkStart w:id="371" w:name="_Toc68582151"/>
      <w:bookmarkEnd w:id="355"/>
      <w:bookmarkEnd w:id="356"/>
      <w:bookmarkEnd w:id="357"/>
      <w:bookmarkEnd w:id="358"/>
      <w:bookmarkEnd w:id="359"/>
      <w:bookmarkEnd w:id="360"/>
      <w:bookmarkEnd w:id="361"/>
      <w:bookmarkEnd w:id="362"/>
      <w:bookmarkEnd w:id="363"/>
      <w:bookmarkEnd w:id="364"/>
      <w:bookmarkEnd w:id="365"/>
    </w:p>
    <w:p w14:paraId="5E5805F9" w14:textId="77777777" w:rsidR="005C6EE6" w:rsidRPr="005C6EE6" w:rsidRDefault="005C6EE6" w:rsidP="005C6EE6">
      <w:r w:rsidRPr="005C6EE6">
        <w:t>Udrulningen af de nye indsamlingsordninger, som er fastsat i affaldsbekendtgørelsen, vil forudsætte indkøb af indsamlingsmateriel og en øget indsamlingsintensitet (flere tømninger pr. år pr. husstand).</w:t>
      </w:r>
    </w:p>
    <w:p w14:paraId="71EA0449" w14:textId="77777777" w:rsidR="005C6EE6" w:rsidRPr="005C6EE6" w:rsidRDefault="005C6EE6" w:rsidP="005C6EE6">
      <w:r w:rsidRPr="005C6EE6">
        <w:lastRenderedPageBreak/>
        <w:t>Indsamlingsomkostninger udgør i forvejen i størrelsesordenen 3/4 af de samlede omkostninger ved henteordningerne, og de vil vokse yderligere, også fordi markedsudviklingen tegner til væsentlig øgning af omkostningen pr. tømning.</w:t>
      </w:r>
    </w:p>
    <w:p w14:paraId="39B354C3" w14:textId="77777777" w:rsidR="005C6EE6" w:rsidRPr="005C6EE6" w:rsidRDefault="005C6EE6" w:rsidP="005C6EE6">
      <w:r w:rsidRPr="005C6EE6">
        <w:t xml:space="preserve">Hertil kommer omkostninger til håndtering af de nye affaldstyper (blødt plastaffald, mad- og drikkekartonaffald, tekstilaffald og farligt affald) der alle vil være dyrere end den nuværende håndtering som restaffald. </w:t>
      </w:r>
    </w:p>
    <w:p w14:paraId="2FC79A94" w14:textId="77777777" w:rsidR="005C6EE6" w:rsidRPr="005C6EE6" w:rsidRDefault="005C6EE6" w:rsidP="005C6EE6">
      <w:r w:rsidRPr="005C6EE6">
        <w:t>Omkostningerne ved håndtering af blødt plastaffald og mad- og drikkekartonaffald til reel genanvendelse er således i størrelsesordenen faktor tre gange dyrere end den aktuelle håndtering som restaffald og farligt affald 10-11 gange dyrere, mens omkostningerne ved håndtering af tekstilaffald til forberedelse for genbrug og reel genanvendelse er vanskelige at forudsige, da markedet særligt f.s.v.a. resttekstil til reel genanvendelse er umodent/fraværende, og under alle omstændigheder vil blive overmættet som følge af generelle krav til indsamling og genanvendelse på europæisk plan.</w:t>
      </w:r>
    </w:p>
    <w:p w14:paraId="1781DC29" w14:textId="155D9B39" w:rsidR="005C6EE6" w:rsidRDefault="005C6EE6" w:rsidP="005C6EE6">
      <w:r w:rsidRPr="005C6EE6">
        <w:t>Endelig vil de aktuelt svigtende priser på genanvendelige materialer i det hele taget påvirke økonomien i indsamlingsordningerne negativt i bred forstand, herunder ikke mindst genbrugspladsordningen.</w:t>
      </w:r>
    </w:p>
    <w:p w14:paraId="3E82C511" w14:textId="77777777" w:rsidR="00236EE4" w:rsidRPr="00236EE4" w:rsidRDefault="00236EE4" w:rsidP="00236EE4">
      <w:pPr>
        <w:suppressAutoHyphens w:val="0"/>
        <w:autoSpaceDE w:val="0"/>
        <w:adjustRightInd w:val="0"/>
        <w:spacing w:after="0"/>
        <w:textAlignment w:val="auto"/>
        <w:rPr>
          <w:rFonts w:eastAsiaTheme="minorHAnsi"/>
        </w:rPr>
      </w:pPr>
      <w:r w:rsidRPr="00236EE4">
        <w:rPr>
          <w:rFonts w:eastAsiaTheme="minorHAnsi"/>
        </w:rPr>
        <w:t>Et foreløbigt skøn viser, at de samlede omkostninger pr. husstand ved udrulningen af</w:t>
      </w:r>
    </w:p>
    <w:p w14:paraId="39CEF78A" w14:textId="77777777" w:rsidR="00236EE4" w:rsidRPr="00236EE4" w:rsidRDefault="00236EE4" w:rsidP="00236EE4">
      <w:pPr>
        <w:suppressAutoHyphens w:val="0"/>
        <w:autoSpaceDE w:val="0"/>
        <w:adjustRightInd w:val="0"/>
        <w:spacing w:after="0"/>
        <w:textAlignment w:val="auto"/>
        <w:rPr>
          <w:rFonts w:eastAsiaTheme="minorHAnsi"/>
        </w:rPr>
      </w:pPr>
      <w:r w:rsidRPr="00236EE4">
        <w:rPr>
          <w:rFonts w:eastAsiaTheme="minorHAnsi"/>
        </w:rPr>
        <w:t>de nye ordninger vil beløbe sig til i størrelsesordenen DKK 500-1000 kr. pr. husstand/</w:t>
      </w:r>
    </w:p>
    <w:p w14:paraId="43189EF1" w14:textId="53FB4538" w:rsidR="00236EE4" w:rsidRPr="00236EE4" w:rsidRDefault="00236EE4" w:rsidP="00236EE4">
      <w:r w:rsidRPr="00236EE4">
        <w:rPr>
          <w:rFonts w:eastAsiaTheme="minorHAnsi"/>
        </w:rPr>
        <w:t>år.</w:t>
      </w:r>
    </w:p>
    <w:p w14:paraId="37B5678B" w14:textId="2D0E1FDD" w:rsidR="005C6EE6" w:rsidRDefault="005C6EE6" w:rsidP="005C6EE6">
      <w:r w:rsidRPr="005C6EE6">
        <w:t>Miljøministeriet har i en opgørelse beregnet, at ordningerne ville kunne gennemføres for en meromkostning på DKK 50,-/husstand om året, men efter det oplyste er det under forudsætning af, at der opstår et marked for afsætning af de genanvendelige materialer til positive priser</w:t>
      </w:r>
      <w:r w:rsidR="004C5B92">
        <w:t xml:space="preserve">. I dag koster det </w:t>
      </w:r>
      <w:r w:rsidR="00976130">
        <w:t xml:space="preserve">eksempelvis </w:t>
      </w:r>
      <w:r w:rsidRPr="005C6EE6">
        <w:t>DKK 3.830 pr. ton at indsamle og genanvende Mad- &amp; Drikkekartoner</w:t>
      </w:r>
      <w:r w:rsidR="004C5B92">
        <w:t>.</w:t>
      </w:r>
    </w:p>
    <w:p w14:paraId="03645D98" w14:textId="77777777" w:rsidR="003B741D" w:rsidRPr="005C6EE6" w:rsidRDefault="003B741D" w:rsidP="005C6EE6"/>
    <w:p w14:paraId="455213F1" w14:textId="660DACCC" w:rsidR="005C6EE6" w:rsidRPr="005C6EE6" w:rsidRDefault="005C6EE6" w:rsidP="00C72B9F">
      <w:pPr>
        <w:pStyle w:val="Overskrift3"/>
      </w:pPr>
      <w:bookmarkStart w:id="372" w:name="_Toc68611332"/>
      <w:bookmarkStart w:id="373" w:name="_Toc69216648"/>
      <w:bookmarkStart w:id="374" w:name="_Toc70950942"/>
      <w:bookmarkStart w:id="375" w:name="_Toc76126072"/>
      <w:bookmarkStart w:id="376" w:name="_Toc85189864"/>
      <w:r w:rsidRPr="005C6EE6">
        <w:t>Perioden 2027-2032</w:t>
      </w:r>
      <w:bookmarkEnd w:id="366"/>
      <w:bookmarkEnd w:id="367"/>
      <w:bookmarkEnd w:id="368"/>
      <w:bookmarkEnd w:id="369"/>
      <w:bookmarkEnd w:id="370"/>
      <w:bookmarkEnd w:id="371"/>
      <w:bookmarkEnd w:id="372"/>
      <w:bookmarkEnd w:id="373"/>
      <w:bookmarkEnd w:id="374"/>
      <w:bookmarkEnd w:id="375"/>
      <w:bookmarkEnd w:id="376"/>
    </w:p>
    <w:p w14:paraId="6E7E79D6" w14:textId="77777777" w:rsidR="002C4D05" w:rsidRDefault="005C6EE6" w:rsidP="005C6EE6">
      <w:r w:rsidRPr="005C6EE6">
        <w:t>Eftersom kommunen ikke har planer om yderligere ordninger m.v. i perioden, forventes planen ikke at have økonomiske konsekvenser her – når bortses fra, at eventuelle ændringer i markedsforholdene for genanvendelige materialer til den tid kan have betydning i såvel positiv som negativ retning.</w:t>
      </w:r>
    </w:p>
    <w:p w14:paraId="78D3D339" w14:textId="7EDD739C" w:rsidR="005C6EE6" w:rsidRDefault="005C6EE6" w:rsidP="005C6EE6">
      <w:r w:rsidRPr="005C6EE6">
        <w:br/>
      </w:r>
    </w:p>
    <w:p w14:paraId="10A91718" w14:textId="41E7AB17" w:rsidR="00472891" w:rsidRDefault="00472891" w:rsidP="005C6EE6"/>
    <w:p w14:paraId="6F9B741C" w14:textId="77777777" w:rsidR="00472891" w:rsidRPr="005C6EE6" w:rsidRDefault="00472891" w:rsidP="005C6EE6"/>
    <w:p w14:paraId="715B2744" w14:textId="749506D6" w:rsidR="005C6EE6" w:rsidRPr="005C6EE6" w:rsidRDefault="005C6EE6" w:rsidP="00C72B9F">
      <w:pPr>
        <w:pStyle w:val="Overskrift2"/>
      </w:pPr>
      <w:bookmarkStart w:id="377" w:name="_Toc65581900"/>
      <w:bookmarkStart w:id="378" w:name="_Toc65685160"/>
      <w:bookmarkStart w:id="379" w:name="_Toc66217108"/>
      <w:bookmarkStart w:id="380" w:name="_Toc68083518"/>
      <w:bookmarkStart w:id="381" w:name="_Toc68090448"/>
      <w:bookmarkStart w:id="382" w:name="_Toc68530421"/>
      <w:bookmarkStart w:id="383" w:name="_Toc68582152"/>
      <w:bookmarkStart w:id="384" w:name="_Toc68611333"/>
      <w:bookmarkStart w:id="385" w:name="_Toc69216649"/>
      <w:bookmarkStart w:id="386" w:name="_Toc70950943"/>
      <w:bookmarkStart w:id="387" w:name="_Toc76126073"/>
      <w:bookmarkStart w:id="388" w:name="_Toc85189865"/>
      <w:r w:rsidRPr="005C6EE6">
        <w:t>Planlagte fremtidige investeringer til renovering, ombygning eller etablering af nye anlæg</w:t>
      </w:r>
      <w:bookmarkStart w:id="389" w:name="_Hlk68584165"/>
      <w:bookmarkEnd w:id="377"/>
      <w:bookmarkEnd w:id="378"/>
      <w:bookmarkEnd w:id="379"/>
      <w:bookmarkEnd w:id="380"/>
      <w:bookmarkEnd w:id="381"/>
      <w:bookmarkEnd w:id="382"/>
      <w:bookmarkEnd w:id="383"/>
      <w:bookmarkEnd w:id="384"/>
      <w:bookmarkEnd w:id="385"/>
      <w:bookmarkEnd w:id="386"/>
      <w:bookmarkEnd w:id="387"/>
      <w:bookmarkEnd w:id="388"/>
    </w:p>
    <w:p w14:paraId="50FE5BC1" w14:textId="77777777" w:rsidR="005C6EE6" w:rsidRPr="005C6EE6" w:rsidRDefault="005C6EE6" w:rsidP="003B741D">
      <w:pPr>
        <w:pStyle w:val="Listeafsnit"/>
      </w:pPr>
      <w:bookmarkStart w:id="390" w:name="_Toc65685161"/>
      <w:bookmarkStart w:id="391" w:name="_Toc66217109"/>
      <w:bookmarkStart w:id="392" w:name="_Toc68083519"/>
      <w:bookmarkStart w:id="393" w:name="_Toc68090449"/>
      <w:bookmarkStart w:id="394" w:name="_Toc65581901"/>
    </w:p>
    <w:p w14:paraId="4912E549" w14:textId="7228E0A5" w:rsidR="005C6EE6" w:rsidRPr="005C6EE6" w:rsidRDefault="00EA29FC" w:rsidP="00C72B9F">
      <w:pPr>
        <w:pStyle w:val="Overskrift3"/>
      </w:pPr>
      <w:bookmarkStart w:id="395" w:name="_Toc68530422"/>
      <w:bookmarkStart w:id="396" w:name="_Toc68582153"/>
      <w:bookmarkStart w:id="397" w:name="_Toc68611334"/>
      <w:bookmarkStart w:id="398" w:name="_Toc69216650"/>
      <w:bookmarkStart w:id="399" w:name="_Toc70950944"/>
      <w:bookmarkStart w:id="400" w:name="_Toc76126074"/>
      <w:bookmarkStart w:id="401" w:name="_Toc85189866"/>
      <w:r>
        <w:t>P</w:t>
      </w:r>
      <w:r w:rsidR="005C6EE6" w:rsidRPr="005C6EE6">
        <w:t>erioden 2021-2026</w:t>
      </w:r>
      <w:bookmarkEnd w:id="390"/>
      <w:bookmarkEnd w:id="391"/>
      <w:bookmarkEnd w:id="392"/>
      <w:bookmarkEnd w:id="393"/>
      <w:bookmarkEnd w:id="395"/>
      <w:bookmarkEnd w:id="396"/>
      <w:bookmarkEnd w:id="397"/>
      <w:bookmarkEnd w:id="398"/>
      <w:bookmarkEnd w:id="399"/>
      <w:bookmarkEnd w:id="400"/>
      <w:bookmarkEnd w:id="401"/>
    </w:p>
    <w:p w14:paraId="74F30A1E" w14:textId="6102D1A7" w:rsidR="005C6EE6" w:rsidRPr="005C6EE6" w:rsidRDefault="005C6EE6" w:rsidP="005C6EE6">
      <w:bookmarkStart w:id="402" w:name="_Toc65685162"/>
      <w:bookmarkStart w:id="403" w:name="_Toc66217110"/>
      <w:bookmarkStart w:id="404" w:name="_Toc68083520"/>
      <w:bookmarkStart w:id="405" w:name="_Toc68090450"/>
      <w:r w:rsidRPr="005C6EE6">
        <w:t>Gennem det fælleskommunale affaldsselskab AffaldPlus påregner kommunen i perioden 2021-2026 at investere i en udvidelse af omlastefaciliteterne for genanvendeligt affald i Næstved med henblik på at kunne kvalitetskontrollere og afsætte de nye og øgede mængder af husstandsindsamlet affald, eg</w:t>
      </w:r>
      <w:r w:rsidR="002C4D05">
        <w:t>ne</w:t>
      </w:r>
      <w:r w:rsidRPr="005C6EE6">
        <w:t xml:space="preserve">t til materialegenanvendelse, herunder plast- og mad- og </w:t>
      </w:r>
      <w:r w:rsidRPr="005C6EE6">
        <w:lastRenderedPageBreak/>
        <w:t>drikkekartonaffald samt om nødvendigt at etablere faciliteter for omlastning af farligt affald fra husstandsindsamlingen i tilknytning hertil.</w:t>
      </w:r>
    </w:p>
    <w:p w14:paraId="2AD8109E" w14:textId="77777777" w:rsidR="005C6EE6" w:rsidRPr="005C6EE6" w:rsidRDefault="005C6EE6" w:rsidP="005C6EE6">
      <w:r w:rsidRPr="005C6EE6">
        <w:t>De samlede omkostninger forventes at ligge i størrelsesordenen DKK 4,5 mio.</w:t>
      </w:r>
    </w:p>
    <w:p w14:paraId="3E0250A5" w14:textId="77777777" w:rsidR="005C6EE6" w:rsidRPr="005C6EE6" w:rsidRDefault="005C6EE6" w:rsidP="005C6EE6">
      <w:r w:rsidRPr="005C6EE6">
        <w:t>I AffaldPlus’ samlede plan for genbrugspladser ligger også en plan om at sammenlægge to mindre genbrugspladser i Fuglebjerg og Dalmose til én stor og tidssvarende plads.</w:t>
      </w:r>
    </w:p>
    <w:p w14:paraId="79DC9C36" w14:textId="2BF66BD4" w:rsidR="005C6EE6" w:rsidRDefault="005C6EE6" w:rsidP="005C6EE6">
      <w:r w:rsidRPr="005C6EE6">
        <w:t>Derudover påtænkes ingen investeringer til renovering, ombygning eller etablering af nye anlæg, når bortses fra almindelig vedligeholdelse, ligesom etablering af en ny genbrugsplads ved Korsør til erstatning for to eksisterende vil være tilendebragt ved planens vedtagelse.</w:t>
      </w:r>
    </w:p>
    <w:p w14:paraId="279379CF" w14:textId="77777777" w:rsidR="003B741D" w:rsidRPr="005C6EE6" w:rsidRDefault="003B741D" w:rsidP="005C6EE6"/>
    <w:p w14:paraId="1F61AE64" w14:textId="644DAFE6" w:rsidR="005C6EE6" w:rsidRPr="005C6EE6" w:rsidRDefault="005C6EE6" w:rsidP="00EA29FC">
      <w:pPr>
        <w:pStyle w:val="Overskrift3"/>
      </w:pPr>
      <w:bookmarkStart w:id="406" w:name="_Toc68530423"/>
      <w:bookmarkStart w:id="407" w:name="_Toc68582154"/>
      <w:bookmarkStart w:id="408" w:name="_Toc68611335"/>
      <w:bookmarkStart w:id="409" w:name="_Toc69216651"/>
      <w:bookmarkStart w:id="410" w:name="_Toc70950945"/>
      <w:bookmarkStart w:id="411" w:name="_Toc76126075"/>
      <w:bookmarkStart w:id="412" w:name="_Toc85189867"/>
      <w:r w:rsidRPr="005C6EE6">
        <w:t>Perioden 2027-2032</w:t>
      </w:r>
      <w:bookmarkEnd w:id="402"/>
      <w:bookmarkEnd w:id="403"/>
      <w:bookmarkEnd w:id="404"/>
      <w:bookmarkEnd w:id="405"/>
      <w:bookmarkEnd w:id="406"/>
      <w:bookmarkEnd w:id="407"/>
      <w:bookmarkEnd w:id="408"/>
      <w:bookmarkEnd w:id="409"/>
      <w:bookmarkEnd w:id="410"/>
      <w:bookmarkEnd w:id="411"/>
      <w:bookmarkEnd w:id="412"/>
    </w:p>
    <w:p w14:paraId="016C0607" w14:textId="77777777" w:rsidR="005C6EE6" w:rsidRPr="005C6EE6" w:rsidRDefault="005C6EE6" w:rsidP="005C6EE6">
      <w:r w:rsidRPr="005C6EE6">
        <w:t>Kommunen har for indeværende ingen planer om at foretage yderligere investeringer til renovering, ombygning eller etablering af nye anlæg i perioden 2027-2032, med mindre yderligere lovkrav måtte nødvendiggøre det.</w:t>
      </w:r>
    </w:p>
    <w:p w14:paraId="282FE9E6" w14:textId="708DC686" w:rsidR="005C6EE6" w:rsidRPr="005C6EE6" w:rsidRDefault="005C6EE6" w:rsidP="005C6EE6"/>
    <w:p w14:paraId="512CEE9A" w14:textId="2E5D13FB" w:rsidR="005C6EE6" w:rsidRPr="005C6EE6" w:rsidRDefault="005C6EE6" w:rsidP="00EA29FC">
      <w:pPr>
        <w:pStyle w:val="Overskrift2"/>
      </w:pPr>
      <w:bookmarkStart w:id="413" w:name="_Toc65685163"/>
      <w:bookmarkStart w:id="414" w:name="_Toc66217111"/>
      <w:bookmarkStart w:id="415" w:name="_Toc68083521"/>
      <w:bookmarkStart w:id="416" w:name="_Toc68090451"/>
      <w:bookmarkStart w:id="417" w:name="_Toc68530424"/>
      <w:bookmarkStart w:id="418" w:name="_Toc68582155"/>
      <w:bookmarkStart w:id="419" w:name="_Toc68611336"/>
      <w:bookmarkStart w:id="420" w:name="_Toc69216652"/>
      <w:bookmarkStart w:id="421" w:name="_Toc70950946"/>
      <w:bookmarkStart w:id="422" w:name="_Toc76126076"/>
      <w:bookmarkStart w:id="423" w:name="_Toc85189868"/>
      <w:bookmarkEnd w:id="389"/>
      <w:r w:rsidRPr="005C6EE6">
        <w:t>En vurdering af i hvilket omfang de af planen omfattede foranstaltninger er i overensstemmelse med affaldshierarkiet</w:t>
      </w:r>
      <w:bookmarkEnd w:id="394"/>
      <w:bookmarkEnd w:id="413"/>
      <w:bookmarkEnd w:id="414"/>
      <w:bookmarkEnd w:id="415"/>
      <w:bookmarkEnd w:id="416"/>
      <w:bookmarkEnd w:id="417"/>
      <w:bookmarkEnd w:id="418"/>
      <w:bookmarkEnd w:id="419"/>
      <w:bookmarkEnd w:id="420"/>
      <w:bookmarkEnd w:id="421"/>
      <w:bookmarkEnd w:id="422"/>
      <w:bookmarkEnd w:id="423"/>
    </w:p>
    <w:p w14:paraId="43CA6B51" w14:textId="066210EB" w:rsidR="005C6EE6" w:rsidRPr="005C6EE6" w:rsidRDefault="005C6EE6" w:rsidP="005C6EE6">
      <w:r w:rsidRPr="005C6EE6">
        <w:t xml:space="preserve">Det fremgår eksplicit af affaldsbekendtgørelsens § 16, stk. 1 nr. 8), at kommunen skal vurdere planens foranstaltninger i forhold til affaldshierarkiet, således som det er anført i </w:t>
      </w:r>
      <w:r w:rsidR="00386FF0">
        <w:t>m</w:t>
      </w:r>
      <w:r w:rsidRPr="005C6EE6">
        <w:t>iljøbeskyttelseslovens § 6c.</w:t>
      </w:r>
    </w:p>
    <w:p w14:paraId="4783CAA8" w14:textId="72171D61" w:rsidR="005C6EE6" w:rsidRPr="005C6EE6" w:rsidRDefault="005C6EE6" w:rsidP="005C6EE6">
      <w:pPr>
        <w:rPr>
          <w:rFonts w:ascii="Calibri" w:hAnsi="Calibri"/>
        </w:rPr>
      </w:pPr>
      <w:r w:rsidRPr="005C6EE6">
        <w:t xml:space="preserve">Eftersom kommunen ikke har ansvar for – eller mulighed for at gebyrfinansiere - gennemførelse af forebyggelsesforanstaltninger, som har førsteprioritet i </w:t>
      </w:r>
      <w:r w:rsidR="00386FF0">
        <w:t>m</w:t>
      </w:r>
      <w:r w:rsidRPr="005C6EE6">
        <w:t xml:space="preserve">iljøbeskyttelseslovens affaldshierarki, har kommunen ved udarbejdelsen af affaldsplanen i hovedsagen taget afsæt i affaldsbekendtgørelsens affaldshåndteringshierarki, således som det fremgår af dennes § 13, og som </w:t>
      </w:r>
      <w:r w:rsidRPr="005C6EE6">
        <w:rPr>
          <w:i/>
          <w:iCs/>
        </w:rPr>
        <w:t>ikke</w:t>
      </w:r>
      <w:r w:rsidRPr="005C6EE6">
        <w:t xml:space="preserve"> medtager forebyggelse. </w:t>
      </w:r>
    </w:p>
    <w:p w14:paraId="26026CC5" w14:textId="77777777" w:rsidR="005C6EE6" w:rsidRPr="005C6EE6" w:rsidRDefault="005C6EE6" w:rsidP="005C6EE6">
      <w:pPr>
        <w:rPr>
          <w:rFonts w:ascii="Calibri" w:hAnsi="Calibri"/>
        </w:rPr>
      </w:pPr>
      <w:r w:rsidRPr="005C6EE6">
        <w:t xml:space="preserve">Kommunen har derfor i sagens natur </w:t>
      </w:r>
      <w:r w:rsidRPr="005C6EE6">
        <w:rPr>
          <w:i/>
          <w:iCs/>
        </w:rPr>
        <w:t xml:space="preserve">ikke </w:t>
      </w:r>
      <w:r w:rsidRPr="005C6EE6">
        <w:t>i planen lagt op til foranstaltninger, der sigter mod øget affaldsforebyggelse, men har i stedet henvist sådanne foranstaltninger til andre af kommunens strategier og politikker. Se i øvrigt afsnit 3.5. og afsnit 6 nedenfor om forholdet til kommunens øvrige strategier, planer og politikker.</w:t>
      </w:r>
    </w:p>
    <w:p w14:paraId="46137DF5" w14:textId="4FE2BA4A" w:rsidR="005C6EE6" w:rsidRDefault="005C6EE6" w:rsidP="005C6EE6">
      <w:r w:rsidRPr="005C6EE6">
        <w:t>Det er imidlertid kommunens opfattelse, at ingen af de foranstaltninger, som planen omfatter, vil være til hinder for eller vil modarbejde øget affaldsforebyggelse – hverken i den kortsigtede eller den langsigtede del af planen.</w:t>
      </w:r>
    </w:p>
    <w:p w14:paraId="48119B86" w14:textId="77777777" w:rsidR="003B741D" w:rsidRPr="005C6EE6" w:rsidRDefault="003B741D" w:rsidP="005C6EE6"/>
    <w:p w14:paraId="74D40946" w14:textId="0C949123" w:rsidR="005C6EE6" w:rsidRPr="005C6EE6" w:rsidRDefault="005C6EE6" w:rsidP="00EA29FC">
      <w:pPr>
        <w:pStyle w:val="Overskrift3"/>
      </w:pPr>
      <w:bookmarkStart w:id="424" w:name="_Toc65685164"/>
      <w:bookmarkStart w:id="425" w:name="_Toc66217112"/>
      <w:bookmarkStart w:id="426" w:name="_Toc68083522"/>
      <w:bookmarkStart w:id="427" w:name="_Toc68090452"/>
      <w:bookmarkStart w:id="428" w:name="_Toc68530425"/>
      <w:bookmarkStart w:id="429" w:name="_Toc68582156"/>
      <w:bookmarkStart w:id="430" w:name="_Toc68611337"/>
      <w:bookmarkStart w:id="431" w:name="_Toc69216653"/>
      <w:bookmarkStart w:id="432" w:name="_Toc70950947"/>
      <w:bookmarkStart w:id="433" w:name="_Toc76126077"/>
      <w:bookmarkStart w:id="434" w:name="_Toc85189869"/>
      <w:r w:rsidRPr="005C6EE6">
        <w:t>Perioden 2021-2026</w:t>
      </w:r>
      <w:bookmarkEnd w:id="424"/>
      <w:bookmarkEnd w:id="425"/>
      <w:bookmarkEnd w:id="426"/>
      <w:bookmarkEnd w:id="427"/>
      <w:bookmarkEnd w:id="428"/>
      <w:bookmarkEnd w:id="429"/>
      <w:bookmarkEnd w:id="430"/>
      <w:bookmarkEnd w:id="431"/>
      <w:bookmarkEnd w:id="432"/>
      <w:bookmarkEnd w:id="433"/>
      <w:bookmarkEnd w:id="434"/>
    </w:p>
    <w:p w14:paraId="0574CA81" w14:textId="77777777" w:rsidR="005C6EE6" w:rsidRPr="005C6EE6" w:rsidRDefault="005C6EE6" w:rsidP="005C6EE6">
      <w:r w:rsidRPr="005C6EE6">
        <w:t>Kommunen vil, i det omfang lovgivningen tillader det, fastholde et højt engagement inden for forberedelse til genbrug, herunder indsamle, forberede og afsætte genbrugelige produkter, komponenter og materialer gennem de etablerede butikker og markeder i regi af AffaldPlus.</w:t>
      </w:r>
    </w:p>
    <w:p w14:paraId="6C8964F1" w14:textId="77777777" w:rsidR="005C6EE6" w:rsidRPr="005C6EE6" w:rsidRDefault="005C6EE6" w:rsidP="005C6EE6">
      <w:r w:rsidRPr="005C6EE6">
        <w:t xml:space="preserve">Derudover vurderes udrulningen af nye ordninger for indsamling af i alt 10 affaldstyper som henteordninger ved husstanden at bidrage til øget reel genanvendelse af husholdningsaffaldet, </w:t>
      </w:r>
      <w:r w:rsidRPr="005C6EE6">
        <w:lastRenderedPageBreak/>
        <w:t>hvortil skal lægges den planlagte øgede indsats for at få borgerne til at udsortere mere genanvendeligt affald fra ’småt brændbart’.</w:t>
      </w:r>
    </w:p>
    <w:p w14:paraId="6DF26696" w14:textId="77777777" w:rsidR="005C6EE6" w:rsidRPr="005C6EE6" w:rsidRDefault="005C6EE6" w:rsidP="005C6EE6">
      <w:r w:rsidRPr="005C6EE6">
        <w:t>Kommunens plan om at sikre, at det affald, der ikke kan forberedes for genbrug eller reel genanvendelse i stedet sikres anden endelig materialenyttiggørelse eller energiudnyttelse, er ligeledes i overensstemmelse med affaldshierarkiet.</w:t>
      </w:r>
    </w:p>
    <w:p w14:paraId="07567E35" w14:textId="1ACC0455" w:rsidR="005C6EE6" w:rsidRDefault="005C6EE6" w:rsidP="005C6EE6">
      <w:r w:rsidRPr="005C6EE6">
        <w:t>Det samme gælder kommunens plan om at sikre det affald miljømæssigt forsvarligt deponeret, som er egnet hertil, og som bør trækkes ud af den cirkulære økonomis materialekredsløb.</w:t>
      </w:r>
    </w:p>
    <w:p w14:paraId="1FCEEDDF" w14:textId="77777777" w:rsidR="003B741D" w:rsidRPr="005C6EE6" w:rsidRDefault="003B741D" w:rsidP="005C6EE6"/>
    <w:p w14:paraId="1C347885" w14:textId="0DB0D16C" w:rsidR="005C6EE6" w:rsidRPr="005C6EE6" w:rsidRDefault="005C6EE6" w:rsidP="00EA29FC">
      <w:pPr>
        <w:pStyle w:val="Overskrift3"/>
      </w:pPr>
      <w:bookmarkStart w:id="435" w:name="_Toc65685165"/>
      <w:bookmarkStart w:id="436" w:name="_Toc66217113"/>
      <w:bookmarkStart w:id="437" w:name="_Toc68083523"/>
      <w:bookmarkStart w:id="438" w:name="_Toc68090453"/>
      <w:bookmarkStart w:id="439" w:name="_Toc68530426"/>
      <w:bookmarkStart w:id="440" w:name="_Toc68582157"/>
      <w:bookmarkStart w:id="441" w:name="_Toc68611338"/>
      <w:bookmarkStart w:id="442" w:name="_Toc69216654"/>
      <w:bookmarkStart w:id="443" w:name="_Toc70950948"/>
      <w:bookmarkStart w:id="444" w:name="_Toc76126078"/>
      <w:bookmarkStart w:id="445" w:name="_Toc85189870"/>
      <w:r w:rsidRPr="005C6EE6">
        <w:t>Perioden 2027-2032</w:t>
      </w:r>
      <w:bookmarkEnd w:id="435"/>
      <w:bookmarkEnd w:id="436"/>
      <w:bookmarkEnd w:id="437"/>
      <w:bookmarkEnd w:id="438"/>
      <w:bookmarkEnd w:id="439"/>
      <w:bookmarkEnd w:id="440"/>
      <w:bookmarkEnd w:id="441"/>
      <w:bookmarkEnd w:id="442"/>
      <w:bookmarkEnd w:id="443"/>
      <w:bookmarkEnd w:id="444"/>
      <w:bookmarkEnd w:id="445"/>
    </w:p>
    <w:p w14:paraId="240041D0" w14:textId="77777777" w:rsidR="005C6EE6" w:rsidRPr="005C6EE6" w:rsidRDefault="005C6EE6" w:rsidP="005C6EE6">
      <w:pPr>
        <w:rPr>
          <w:rFonts w:ascii="Calibri" w:hAnsi="Calibri"/>
        </w:rPr>
      </w:pPr>
      <w:r w:rsidRPr="005C6EE6">
        <w:t>Eftersom kommunen ikke agter at ændre væsentligt på forholdene i denne periode i f.t. den foregående, er det kommunens vurdering, at planens foranstaltninger også i denne periode vil være i overensstemmelse med affaldshierarkiet.</w:t>
      </w:r>
    </w:p>
    <w:p w14:paraId="60C831DA" w14:textId="77777777" w:rsidR="003B741D" w:rsidRDefault="003B741D">
      <w:pPr>
        <w:suppressAutoHyphens w:val="0"/>
        <w:autoSpaceDN/>
        <w:spacing w:after="200" w:line="276" w:lineRule="auto"/>
        <w:textAlignment w:val="auto"/>
        <w:rPr>
          <w:rFonts w:ascii="Verdana" w:eastAsiaTheme="majorEastAsia" w:hAnsi="Verdana" w:cstheme="majorBidi"/>
          <w:b/>
          <w:bCs/>
          <w:caps/>
          <w:sz w:val="40"/>
          <w:szCs w:val="28"/>
        </w:rPr>
      </w:pPr>
      <w:bookmarkStart w:id="446" w:name="_Toc68083515"/>
      <w:bookmarkStart w:id="447" w:name="_Toc68090454"/>
      <w:bookmarkStart w:id="448" w:name="_Toc68530427"/>
      <w:bookmarkStart w:id="449" w:name="_Toc68582158"/>
      <w:bookmarkStart w:id="450" w:name="_Toc68611339"/>
      <w:bookmarkStart w:id="451" w:name="_Toc69216655"/>
      <w:bookmarkStart w:id="452" w:name="_Toc70950949"/>
      <w:bookmarkStart w:id="453" w:name="_Toc76126079"/>
      <w:r>
        <w:br w:type="page"/>
      </w:r>
    </w:p>
    <w:p w14:paraId="38E98495" w14:textId="357B9321" w:rsidR="005C6EE6" w:rsidRPr="005C6EE6" w:rsidRDefault="00EA29FC" w:rsidP="00EA29FC">
      <w:pPr>
        <w:pStyle w:val="Overskrift1"/>
      </w:pPr>
      <w:bookmarkStart w:id="454" w:name="_Toc85189871"/>
      <w:r>
        <w:lastRenderedPageBreak/>
        <w:t>P</w:t>
      </w:r>
      <w:r w:rsidR="005C6EE6" w:rsidRPr="005C6EE6">
        <w:t>lanens klimamæssige konsekvenser</w:t>
      </w:r>
      <w:bookmarkStart w:id="455" w:name="_Toc68083524"/>
      <w:bookmarkEnd w:id="446"/>
      <w:bookmarkEnd w:id="447"/>
      <w:bookmarkEnd w:id="448"/>
      <w:bookmarkEnd w:id="449"/>
      <w:bookmarkEnd w:id="450"/>
      <w:bookmarkEnd w:id="451"/>
      <w:bookmarkEnd w:id="452"/>
      <w:bookmarkEnd w:id="453"/>
      <w:bookmarkEnd w:id="454"/>
    </w:p>
    <w:p w14:paraId="72D95072" w14:textId="52B3A2C5" w:rsidR="00976130" w:rsidRDefault="00976130" w:rsidP="005C6EE6"/>
    <w:p w14:paraId="480DDEB0" w14:textId="77777777" w:rsidR="00976130" w:rsidRPr="00976130" w:rsidRDefault="00976130" w:rsidP="00976130">
      <w:r w:rsidRPr="00976130">
        <w:t xml:space="preserve">I planens Bilag IV er redegjort nærmere for planens klimamæssige konsekvenser, idet der for såvel de kortlagte affaldsmængder (jf. planens afsnit 2.1) som de fremskrevne mængder (jf. planens afsnit 4.1.) er tillagt de enkelte affaldstyper, der reelt genanvendes, og som derved giver anledning til fortrængning af CO2-emissioner, nogle CO2-ækvivalenter - hentet fra den nationale affaldsplans afsnit om klima og andre kilder (se noterne til Tabel IV.1.) - for besparelser ved genanvendelse frem for energinyttiggørelse eller deponering for de enkelte affaldstyper. </w:t>
      </w:r>
    </w:p>
    <w:p w14:paraId="5724D7FC" w14:textId="77777777" w:rsidR="00976130" w:rsidRPr="00976130" w:rsidRDefault="00976130" w:rsidP="00976130">
      <w:r w:rsidRPr="00976130">
        <w:t>På den baggrund er de klimamæssige gevinster opgjort i såvel det eksisterende affaldssystem, som det, som affaldsplanen lægger op til.</w:t>
      </w:r>
    </w:p>
    <w:p w14:paraId="06DC267F" w14:textId="79D54E17" w:rsidR="00976130" w:rsidRPr="00976130" w:rsidRDefault="00976130" w:rsidP="00976130">
      <w:r w:rsidRPr="00976130">
        <w:t xml:space="preserve">Nedenfor (i </w:t>
      </w:r>
      <w:r w:rsidRPr="00976130">
        <w:rPr>
          <w:i/>
          <w:iCs/>
        </w:rPr>
        <w:t>Figur 5.1.</w:t>
      </w:r>
      <w:r w:rsidRPr="00976130">
        <w:t>) er det opsummeret, hvad det affaldssystem, der eksisterede ved indledningen til den forrige affaldsplanrunde i 2014 indebar af klimagevinster som følge af materialegenanvendelse, samt hvad det eksisterende affaldssystem i 2020 indebar og endelig hvad det nu planlagte affaldssystem forventes at indebære af klimagevinster.</w:t>
      </w:r>
    </w:p>
    <w:p w14:paraId="46BD7D66" w14:textId="77777777" w:rsidR="00976130" w:rsidRPr="00976130" w:rsidRDefault="00976130" w:rsidP="00976130"/>
    <w:p w14:paraId="6E8092C9" w14:textId="77777777" w:rsidR="00976130" w:rsidRPr="00976130" w:rsidRDefault="00976130" w:rsidP="00976130">
      <w:r w:rsidRPr="00976130">
        <w:rPr>
          <w:noProof/>
        </w:rPr>
        <w:drawing>
          <wp:inline distT="0" distB="0" distL="0" distR="0" wp14:anchorId="7FB6F197" wp14:editId="285F19AE">
            <wp:extent cx="4732020" cy="2743200"/>
            <wp:effectExtent l="0" t="0" r="11430" b="0"/>
            <wp:docPr id="11" name="Diagram 11">
              <a:extLst xmlns:a="http://schemas.openxmlformats.org/drawingml/2006/main">
                <a:ext uri="{FF2B5EF4-FFF2-40B4-BE49-F238E27FC236}">
                  <a16:creationId xmlns:a16="http://schemas.microsoft.com/office/drawing/2014/main" id="{055A7A8D-EAC4-4719-9AA3-2CDBE9F9F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976130" w:rsidDel="00B57767">
        <w:rPr>
          <w:noProof/>
        </w:rPr>
        <w:t xml:space="preserve"> </w:t>
      </w:r>
    </w:p>
    <w:p w14:paraId="558C15F7" w14:textId="77777777" w:rsidR="00976130" w:rsidRPr="00976130" w:rsidRDefault="00976130" w:rsidP="00976130">
      <w:pPr>
        <w:rPr>
          <w:i/>
          <w:iCs/>
        </w:rPr>
      </w:pPr>
      <w:r w:rsidRPr="00976130">
        <w:rPr>
          <w:i/>
          <w:iCs/>
        </w:rPr>
        <w:t>Figur 5.1.: CO2-gevinster ved håndtering af det af planen omfattede kommunale affald i tre forskellige affaldssystemer: Det system, der eksisterede i 2014 (ved starten af forrige affaldsplanrunde), det system, der eksisterede i 2020 og endelig det system, som planen lægger op til.</w:t>
      </w:r>
    </w:p>
    <w:p w14:paraId="35FB28FD" w14:textId="77777777" w:rsidR="00A84CE0" w:rsidRDefault="00A84CE0" w:rsidP="00976130"/>
    <w:p w14:paraId="7A3382C3" w14:textId="0721C7D0" w:rsidR="00976130" w:rsidRPr="00976130" w:rsidRDefault="00976130" w:rsidP="00976130">
      <w:r w:rsidRPr="00976130">
        <w:t xml:space="preserve">I </w:t>
      </w:r>
      <w:r w:rsidRPr="00976130">
        <w:rPr>
          <w:i/>
          <w:iCs/>
        </w:rPr>
        <w:t xml:space="preserve">Figur 5.2. </w:t>
      </w:r>
      <w:r w:rsidRPr="00976130">
        <w:t>er vist udviklingen fra 2014 til 2030.</w:t>
      </w:r>
    </w:p>
    <w:p w14:paraId="252C7178" w14:textId="77777777" w:rsidR="00976130" w:rsidRPr="00976130" w:rsidRDefault="00976130" w:rsidP="00976130">
      <w:r w:rsidRPr="00976130">
        <w:rPr>
          <w:noProof/>
        </w:rPr>
        <w:lastRenderedPageBreak/>
        <w:t xml:space="preserve"> </w:t>
      </w:r>
      <w:r w:rsidRPr="00976130">
        <w:rPr>
          <w:noProof/>
        </w:rPr>
        <w:drawing>
          <wp:inline distT="0" distB="0" distL="0" distR="0" wp14:anchorId="6368EA5F" wp14:editId="4AF42743">
            <wp:extent cx="4572000" cy="2743200"/>
            <wp:effectExtent l="0" t="0" r="0" b="0"/>
            <wp:docPr id="12" name="Diagram 12">
              <a:extLst xmlns:a="http://schemas.openxmlformats.org/drawingml/2006/main">
                <a:ext uri="{FF2B5EF4-FFF2-40B4-BE49-F238E27FC236}">
                  <a16:creationId xmlns:a16="http://schemas.microsoft.com/office/drawing/2014/main" id="{FC73198D-3445-4936-8DF5-EB0743C510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509E189" w14:textId="77777777" w:rsidR="00976130" w:rsidRPr="00976130" w:rsidRDefault="00976130" w:rsidP="00976130">
      <w:pPr>
        <w:rPr>
          <w:i/>
          <w:iCs/>
        </w:rPr>
      </w:pPr>
      <w:r w:rsidRPr="00976130">
        <w:rPr>
          <w:i/>
          <w:iCs/>
        </w:rPr>
        <w:t>Figur 5.2. CO2-gevinster ved håndteringen af kommunalt affald i perioden 2014-2020 (beregnet ud fra faktisk genanvendte mængder) og i 2025 og 2030 (beregnet ud fra forventede, genanvendte mængder).</w:t>
      </w:r>
    </w:p>
    <w:p w14:paraId="571E0F8C" w14:textId="77777777" w:rsidR="00976130" w:rsidRPr="00976130" w:rsidRDefault="00976130" w:rsidP="00976130">
      <w:r w:rsidRPr="00976130">
        <w:t>Set over tid bemærkes det, at der skete en vækst i CO2-gevinster fra 2017 til 2020, som primært skyldes, at de nye ordninger, der trådte i kraft i 2018, først var fuldt udrullede sidst på året, og derfor først fik fuld effekt fra 2019, mens stigningen fra 2019 til 2020 i al væsentlighed kan tilskrives en kraftig vækst i mængden af afleveret jern og metal på genbrugspladserne i kommunen (bidrog med sin relative høje CO2-faktor på 2,95 alene med fortrængning af 1.800 ton CO2 ud af den samlede vækst på 1.925 ton).</w:t>
      </w:r>
    </w:p>
    <w:p w14:paraId="37475257" w14:textId="77777777" w:rsidR="00976130" w:rsidRPr="00976130" w:rsidRDefault="00976130" w:rsidP="00976130">
      <w:r w:rsidRPr="00976130">
        <w:t xml:space="preserve">Væksten i CO2-fortrængning fra 2020 til 2025 kan f.s.v.a. det husstandsindsamlede især tilskrives tekstil, eftersom Miljøministeriet regner med en relativ høj klimafaktor (7,1) herfor. </w:t>
      </w:r>
    </w:p>
    <w:p w14:paraId="462E9D56" w14:textId="77777777" w:rsidR="00976130" w:rsidRPr="00976130" w:rsidRDefault="00976130" w:rsidP="00976130">
      <w:r w:rsidRPr="00976130">
        <w:t xml:space="preserve">Den forventede reelle genanvendelse af tekstil i 2025 fra husstandsindsamling og genbrugspladser bidrager således med 1.980 ton CO2-fortrængning. Men også øgede plastmængder (blød plast) og mindre tabsrater ved overgang fra kombineret til særskilt indsamling af metal, glas og plast bidrager med i størrelsesordenen 500 ton. Til gengæld falder bidraget fra papir med 820 ton grundet faldende forsyningsmængder (og yderligere 475 ton i 2030). </w:t>
      </w:r>
    </w:p>
    <w:p w14:paraId="0556BBE5" w14:textId="32CF3C73" w:rsidR="00976130" w:rsidRPr="00976130" w:rsidRDefault="00976130" w:rsidP="00976130">
      <w:r w:rsidRPr="00976130">
        <w:t xml:space="preserve">Hvad </w:t>
      </w:r>
      <w:r w:rsidR="00386FF0">
        <w:t>g</w:t>
      </w:r>
      <w:r w:rsidRPr="00976130">
        <w:t xml:space="preserve">enbrugspladsaffaldet angår kan den væsentligste stigning tilskrives forventningen om at få udsorteret halvdelen af den tekstilmængde, der ligger i småt brændbart til reel genanvendelse (bidrager alene med 1.115 ton af tilvæksten). </w:t>
      </w:r>
    </w:p>
    <w:p w14:paraId="6B72F6E3" w14:textId="77777777" w:rsidR="00976130" w:rsidRPr="00976130" w:rsidRDefault="00976130" w:rsidP="00976130">
      <w:r w:rsidRPr="00976130">
        <w:t>Sammenlagt bidrager den forventede reelle genanvendelse af tekstiler med 61 % af den samlede tilvækst i CO2-fortrængning ved håndtering af det kommunale affald.</w:t>
      </w:r>
    </w:p>
    <w:p w14:paraId="3476533C" w14:textId="77777777" w:rsidR="00976130" w:rsidRPr="00976130" w:rsidRDefault="00976130" w:rsidP="00976130">
      <w:r w:rsidRPr="00976130">
        <w:t>Det bemærkes, at der allerede i det eksisterende affaldssystem opnåedes anseelige gevinster i f.t. 2014-systemet. Det skyldes, at de fleste af de affaldstyper, der nu i henhold til affaldsbekendtgørelsen skal indsamles ved henteordninger, allerede indsamledes sådan i det eksisterende system.</w:t>
      </w:r>
    </w:p>
    <w:p w14:paraId="3A63E682" w14:textId="77777777" w:rsidR="00976130" w:rsidRPr="00976130" w:rsidRDefault="00976130" w:rsidP="00976130">
      <w:r w:rsidRPr="00976130">
        <w:t>Den store tilvækst i 2025 skyldes som nævnt primært de forventede øgede mængder tekstil til genanvendelse og den deraf afledte klima-effekt. Det forudsætter imidlertid, at tekstilaffaldet reelt genanvendes til produkter, der fortrænger produktion af ny tekstil, hvilket forudsætter modning af helt nye teknologier, som vi ikke kender til i dag.</w:t>
      </w:r>
    </w:p>
    <w:p w14:paraId="258EEE88" w14:textId="77777777" w:rsidR="00976130" w:rsidRPr="00976130" w:rsidRDefault="00976130" w:rsidP="00976130">
      <w:r w:rsidRPr="00976130">
        <w:lastRenderedPageBreak/>
        <w:t xml:space="preserve">På negativsiden tæller en øget CO2-emission forbundet med den øgede indsamlingsaktivitet, samt de lange transporter af genanvendeligt affald til destinationer i udlandet, omend bidraget fra transport er marginalt, set i forhold til gevinsterne ved genanvendelse. </w:t>
      </w:r>
    </w:p>
    <w:p w14:paraId="7761A10F" w14:textId="6B40064C" w:rsidR="00976130" w:rsidRDefault="00976130" w:rsidP="00976130">
      <w:r w:rsidRPr="00976130">
        <w:t xml:space="preserve">I Bilag IV er foretaget en konkret beregning af CO2-bidraget ved transportarbejdet ved såvel indsamling som langtransport af det genanvendelige affald, herunder det husstandsindsamlede. I </w:t>
      </w:r>
      <w:r w:rsidRPr="00976130">
        <w:rPr>
          <w:i/>
          <w:iCs/>
        </w:rPr>
        <w:t>Tabel 5.1.</w:t>
      </w:r>
      <w:r w:rsidRPr="00976130">
        <w:t xml:space="preserve"> er gengivet forholdene for de hidtil husstandsindsamlede affaldstyper, og det ses, at sammenlagt </w:t>
      </w:r>
      <w:r w:rsidR="002C4D05">
        <w:t>reduceres</w:t>
      </w:r>
      <w:r w:rsidRPr="00976130">
        <w:t xml:space="preserve"> i størrelsesordenen 21 % af de samlede CO2-gevinster af udledninger ved transportarbejde. Heraf 4 %-point ved langtransporter, som dog forventes at kunne minimeres med 1/5, når glas fremover f</w:t>
      </w:r>
      <w:r w:rsidR="002C4D05">
        <w:t>orventes</w:t>
      </w:r>
      <w:r w:rsidRPr="00976130">
        <w:t xml:space="preserve"> behandle</w:t>
      </w:r>
      <w:r w:rsidR="002C4D05">
        <w:t>t</w:t>
      </w:r>
      <w:r w:rsidRPr="00976130">
        <w:t xml:space="preserve"> lokalt.</w:t>
      </w:r>
    </w:p>
    <w:p w14:paraId="0FBA2F8C" w14:textId="77777777" w:rsidR="00386FF0" w:rsidRPr="00976130" w:rsidRDefault="00386FF0" w:rsidP="00976130"/>
    <w:tbl>
      <w:tblPr>
        <w:tblStyle w:val="Tabel-Gitter"/>
        <w:tblW w:w="0" w:type="auto"/>
        <w:tblLook w:val="04A0" w:firstRow="1" w:lastRow="0" w:firstColumn="1" w:lastColumn="0" w:noHBand="0" w:noVBand="1"/>
      </w:tblPr>
      <w:tblGrid>
        <w:gridCol w:w="2972"/>
        <w:gridCol w:w="767"/>
        <w:gridCol w:w="856"/>
        <w:gridCol w:w="856"/>
        <w:gridCol w:w="996"/>
        <w:gridCol w:w="1084"/>
      </w:tblGrid>
      <w:tr w:rsidR="00976130" w:rsidRPr="00976130" w14:paraId="1EFBE21C" w14:textId="77777777" w:rsidTr="00E51191">
        <w:trPr>
          <w:trHeight w:val="300"/>
        </w:trPr>
        <w:tc>
          <w:tcPr>
            <w:tcW w:w="7175" w:type="dxa"/>
            <w:gridSpan w:val="6"/>
            <w:noWrap/>
            <w:hideMark/>
          </w:tcPr>
          <w:p w14:paraId="776CAB7D" w14:textId="77777777" w:rsidR="00976130" w:rsidRPr="00976130" w:rsidRDefault="00976130" w:rsidP="00E51191">
            <w:pPr>
              <w:rPr>
                <w:b/>
                <w:bCs/>
              </w:rPr>
            </w:pPr>
            <w:r w:rsidRPr="00976130">
              <w:rPr>
                <w:b/>
                <w:bCs/>
              </w:rPr>
              <w:t>Emissionsforhold, transportarbejde v. indsamling og langtransport</w:t>
            </w:r>
          </w:p>
        </w:tc>
      </w:tr>
      <w:tr w:rsidR="00976130" w:rsidRPr="00976130" w14:paraId="5DC3DBBF" w14:textId="77777777" w:rsidTr="00E51191">
        <w:trPr>
          <w:trHeight w:val="300"/>
        </w:trPr>
        <w:tc>
          <w:tcPr>
            <w:tcW w:w="2972" w:type="dxa"/>
            <w:noWrap/>
            <w:hideMark/>
          </w:tcPr>
          <w:p w14:paraId="401DFDDA" w14:textId="77777777" w:rsidR="00976130" w:rsidRPr="00976130" w:rsidRDefault="00976130" w:rsidP="00E51191">
            <w:pPr>
              <w:rPr>
                <w:b/>
                <w:bCs/>
              </w:rPr>
            </w:pPr>
            <w:r w:rsidRPr="00976130">
              <w:rPr>
                <w:b/>
                <w:bCs/>
              </w:rPr>
              <w:t>Kg CO2/husstand</w:t>
            </w:r>
          </w:p>
        </w:tc>
        <w:tc>
          <w:tcPr>
            <w:tcW w:w="411" w:type="dxa"/>
            <w:noWrap/>
            <w:hideMark/>
          </w:tcPr>
          <w:p w14:paraId="59A05814" w14:textId="77777777" w:rsidR="00976130" w:rsidRPr="00976130" w:rsidRDefault="00976130" w:rsidP="00E51191">
            <w:r w:rsidRPr="00976130">
              <w:t>Papir</w:t>
            </w:r>
          </w:p>
        </w:tc>
        <w:tc>
          <w:tcPr>
            <w:tcW w:w="856" w:type="dxa"/>
            <w:noWrap/>
            <w:hideMark/>
          </w:tcPr>
          <w:p w14:paraId="775FE6D5" w14:textId="77777777" w:rsidR="00976130" w:rsidRPr="00976130" w:rsidRDefault="00976130" w:rsidP="00E51191">
            <w:r w:rsidRPr="00976130">
              <w:t>MGP</w:t>
            </w:r>
          </w:p>
        </w:tc>
        <w:tc>
          <w:tcPr>
            <w:tcW w:w="856" w:type="dxa"/>
            <w:noWrap/>
            <w:hideMark/>
          </w:tcPr>
          <w:p w14:paraId="352764FA" w14:textId="77777777" w:rsidR="00976130" w:rsidRPr="00976130" w:rsidRDefault="00976130" w:rsidP="00E51191">
            <w:r w:rsidRPr="00976130">
              <w:t>Mad</w:t>
            </w:r>
          </w:p>
        </w:tc>
        <w:tc>
          <w:tcPr>
            <w:tcW w:w="996" w:type="dxa"/>
            <w:noWrap/>
            <w:hideMark/>
          </w:tcPr>
          <w:p w14:paraId="43599E5E" w14:textId="77777777" w:rsidR="00976130" w:rsidRPr="00976130" w:rsidRDefault="00976130" w:rsidP="00E51191">
            <w:r w:rsidRPr="00976130">
              <w:t>I alt</w:t>
            </w:r>
          </w:p>
        </w:tc>
        <w:tc>
          <w:tcPr>
            <w:tcW w:w="1084" w:type="dxa"/>
            <w:noWrap/>
            <w:hideMark/>
          </w:tcPr>
          <w:p w14:paraId="601D43EE" w14:textId="77777777" w:rsidR="00976130" w:rsidRPr="00976130" w:rsidRDefault="00976130" w:rsidP="00E51191">
            <w:pPr>
              <w:jc w:val="center"/>
            </w:pPr>
            <w:r w:rsidRPr="00976130">
              <w:t>% af fort.</w:t>
            </w:r>
          </w:p>
        </w:tc>
      </w:tr>
      <w:tr w:rsidR="00976130" w:rsidRPr="00976130" w14:paraId="398BFB43" w14:textId="77777777" w:rsidTr="00E51191">
        <w:trPr>
          <w:trHeight w:val="300"/>
        </w:trPr>
        <w:tc>
          <w:tcPr>
            <w:tcW w:w="2972" w:type="dxa"/>
            <w:noWrap/>
            <w:hideMark/>
          </w:tcPr>
          <w:p w14:paraId="3DD229DE" w14:textId="77777777" w:rsidR="00976130" w:rsidRPr="00976130" w:rsidRDefault="00976130" w:rsidP="00E51191">
            <w:r w:rsidRPr="00976130">
              <w:t>Inds., kg/hs/år</w:t>
            </w:r>
          </w:p>
        </w:tc>
        <w:tc>
          <w:tcPr>
            <w:tcW w:w="411" w:type="dxa"/>
            <w:noWrap/>
            <w:hideMark/>
          </w:tcPr>
          <w:p w14:paraId="429D10AD" w14:textId="77777777" w:rsidR="00976130" w:rsidRPr="00976130" w:rsidRDefault="00976130" w:rsidP="00E51191">
            <w:pPr>
              <w:jc w:val="right"/>
            </w:pPr>
            <w:r w:rsidRPr="00976130">
              <w:t xml:space="preserve"> 7,78 </w:t>
            </w:r>
          </w:p>
        </w:tc>
        <w:tc>
          <w:tcPr>
            <w:tcW w:w="856" w:type="dxa"/>
            <w:noWrap/>
            <w:hideMark/>
          </w:tcPr>
          <w:p w14:paraId="1E958D53" w14:textId="77777777" w:rsidR="00976130" w:rsidRPr="00976130" w:rsidRDefault="00976130" w:rsidP="00E51191">
            <w:pPr>
              <w:jc w:val="right"/>
            </w:pPr>
            <w:r w:rsidRPr="00976130">
              <w:t xml:space="preserve"> 9,00 </w:t>
            </w:r>
          </w:p>
        </w:tc>
        <w:tc>
          <w:tcPr>
            <w:tcW w:w="856" w:type="dxa"/>
            <w:noWrap/>
            <w:hideMark/>
          </w:tcPr>
          <w:p w14:paraId="6A5B5FC6" w14:textId="77777777" w:rsidR="00976130" w:rsidRPr="00976130" w:rsidRDefault="00976130" w:rsidP="00E51191">
            <w:pPr>
              <w:jc w:val="right"/>
            </w:pPr>
            <w:r w:rsidRPr="00976130">
              <w:t xml:space="preserve">11,94 </w:t>
            </w:r>
          </w:p>
        </w:tc>
        <w:tc>
          <w:tcPr>
            <w:tcW w:w="996" w:type="dxa"/>
            <w:noWrap/>
            <w:hideMark/>
          </w:tcPr>
          <w:p w14:paraId="4E7618BA" w14:textId="77777777" w:rsidR="00976130" w:rsidRPr="00976130" w:rsidRDefault="00976130" w:rsidP="00E51191">
            <w:pPr>
              <w:jc w:val="right"/>
            </w:pPr>
            <w:r w:rsidRPr="00976130">
              <w:t xml:space="preserve"> 28,71 </w:t>
            </w:r>
          </w:p>
        </w:tc>
        <w:tc>
          <w:tcPr>
            <w:tcW w:w="1084" w:type="dxa"/>
            <w:noWrap/>
            <w:hideMark/>
          </w:tcPr>
          <w:p w14:paraId="239F83B2" w14:textId="77777777" w:rsidR="00976130" w:rsidRPr="00976130" w:rsidRDefault="00976130" w:rsidP="00E51191">
            <w:pPr>
              <w:jc w:val="center"/>
              <w:rPr>
                <w:i/>
                <w:iCs/>
              </w:rPr>
            </w:pPr>
            <w:r w:rsidRPr="00976130">
              <w:rPr>
                <w:i/>
                <w:iCs/>
              </w:rPr>
              <w:t>17,0</w:t>
            </w:r>
          </w:p>
        </w:tc>
      </w:tr>
      <w:tr w:rsidR="00976130" w:rsidRPr="00976130" w14:paraId="3A0DB621" w14:textId="77777777" w:rsidTr="00E51191">
        <w:trPr>
          <w:trHeight w:val="300"/>
        </w:trPr>
        <w:tc>
          <w:tcPr>
            <w:tcW w:w="2972" w:type="dxa"/>
            <w:noWrap/>
            <w:hideMark/>
          </w:tcPr>
          <w:p w14:paraId="4A330AA3" w14:textId="77777777" w:rsidR="00976130" w:rsidRPr="00976130" w:rsidRDefault="00976130" w:rsidP="00E51191">
            <w:r w:rsidRPr="00976130">
              <w:t>Langtransp., kg/hs/år</w:t>
            </w:r>
          </w:p>
        </w:tc>
        <w:tc>
          <w:tcPr>
            <w:tcW w:w="411" w:type="dxa"/>
            <w:noWrap/>
            <w:hideMark/>
          </w:tcPr>
          <w:p w14:paraId="232BEC21" w14:textId="77777777" w:rsidR="00976130" w:rsidRPr="00976130" w:rsidRDefault="00976130" w:rsidP="00E51191">
            <w:pPr>
              <w:jc w:val="right"/>
            </w:pPr>
            <w:r w:rsidRPr="00976130">
              <w:t xml:space="preserve"> 2,14 </w:t>
            </w:r>
          </w:p>
        </w:tc>
        <w:tc>
          <w:tcPr>
            <w:tcW w:w="856" w:type="dxa"/>
            <w:noWrap/>
            <w:hideMark/>
          </w:tcPr>
          <w:p w14:paraId="670E6A74" w14:textId="77777777" w:rsidR="00976130" w:rsidRPr="00976130" w:rsidRDefault="00976130" w:rsidP="00E51191">
            <w:pPr>
              <w:jc w:val="right"/>
            </w:pPr>
            <w:r w:rsidRPr="00976130">
              <w:t xml:space="preserve"> 3,95 </w:t>
            </w:r>
          </w:p>
        </w:tc>
        <w:tc>
          <w:tcPr>
            <w:tcW w:w="856" w:type="dxa"/>
            <w:noWrap/>
            <w:hideMark/>
          </w:tcPr>
          <w:p w14:paraId="2F16D462" w14:textId="77777777" w:rsidR="00976130" w:rsidRPr="00976130" w:rsidRDefault="00976130" w:rsidP="00E51191">
            <w:pPr>
              <w:jc w:val="right"/>
            </w:pPr>
            <w:r w:rsidRPr="00976130">
              <w:t xml:space="preserve"> 0,67 </w:t>
            </w:r>
          </w:p>
        </w:tc>
        <w:tc>
          <w:tcPr>
            <w:tcW w:w="996" w:type="dxa"/>
            <w:noWrap/>
            <w:hideMark/>
          </w:tcPr>
          <w:p w14:paraId="19DE9131" w14:textId="77777777" w:rsidR="00976130" w:rsidRPr="00976130" w:rsidRDefault="00976130" w:rsidP="00E51191">
            <w:pPr>
              <w:jc w:val="right"/>
            </w:pPr>
            <w:r w:rsidRPr="00976130">
              <w:t xml:space="preserve"> 6,76 </w:t>
            </w:r>
          </w:p>
        </w:tc>
        <w:tc>
          <w:tcPr>
            <w:tcW w:w="1084" w:type="dxa"/>
            <w:noWrap/>
            <w:hideMark/>
          </w:tcPr>
          <w:p w14:paraId="0A74B343" w14:textId="77777777" w:rsidR="00976130" w:rsidRPr="00976130" w:rsidRDefault="00976130" w:rsidP="00E51191">
            <w:pPr>
              <w:jc w:val="center"/>
              <w:rPr>
                <w:i/>
                <w:iCs/>
              </w:rPr>
            </w:pPr>
            <w:r w:rsidRPr="00976130">
              <w:rPr>
                <w:i/>
                <w:iCs/>
              </w:rPr>
              <w:t>4,0</w:t>
            </w:r>
          </w:p>
        </w:tc>
      </w:tr>
      <w:tr w:rsidR="00976130" w:rsidRPr="00976130" w14:paraId="464D6C9F" w14:textId="77777777" w:rsidTr="00E51191">
        <w:trPr>
          <w:trHeight w:val="300"/>
        </w:trPr>
        <w:tc>
          <w:tcPr>
            <w:tcW w:w="2972" w:type="dxa"/>
            <w:noWrap/>
            <w:hideMark/>
          </w:tcPr>
          <w:p w14:paraId="3B10F0F2" w14:textId="77777777" w:rsidR="00976130" w:rsidRPr="00976130" w:rsidRDefault="00976130" w:rsidP="00E51191">
            <w:r w:rsidRPr="00976130">
              <w:t>Transp. i alt, kg/hs/år</w:t>
            </w:r>
          </w:p>
        </w:tc>
        <w:tc>
          <w:tcPr>
            <w:tcW w:w="411" w:type="dxa"/>
            <w:noWrap/>
            <w:hideMark/>
          </w:tcPr>
          <w:p w14:paraId="13F84F68" w14:textId="77777777" w:rsidR="00976130" w:rsidRPr="00976130" w:rsidRDefault="00976130" w:rsidP="00E51191">
            <w:pPr>
              <w:jc w:val="right"/>
            </w:pPr>
            <w:r w:rsidRPr="00976130">
              <w:t xml:space="preserve"> 9,92 </w:t>
            </w:r>
          </w:p>
        </w:tc>
        <w:tc>
          <w:tcPr>
            <w:tcW w:w="856" w:type="dxa"/>
            <w:noWrap/>
            <w:hideMark/>
          </w:tcPr>
          <w:p w14:paraId="380AF3F1" w14:textId="77777777" w:rsidR="00976130" w:rsidRPr="00976130" w:rsidRDefault="00976130" w:rsidP="00E51191">
            <w:pPr>
              <w:jc w:val="right"/>
            </w:pPr>
            <w:r w:rsidRPr="00976130">
              <w:t xml:space="preserve">12,95 </w:t>
            </w:r>
          </w:p>
        </w:tc>
        <w:tc>
          <w:tcPr>
            <w:tcW w:w="856" w:type="dxa"/>
            <w:noWrap/>
            <w:hideMark/>
          </w:tcPr>
          <w:p w14:paraId="173D3002" w14:textId="77777777" w:rsidR="00976130" w:rsidRPr="00976130" w:rsidRDefault="00976130" w:rsidP="00E51191">
            <w:pPr>
              <w:jc w:val="right"/>
            </w:pPr>
            <w:r w:rsidRPr="00976130">
              <w:t xml:space="preserve">12,61 </w:t>
            </w:r>
          </w:p>
        </w:tc>
        <w:tc>
          <w:tcPr>
            <w:tcW w:w="996" w:type="dxa"/>
            <w:noWrap/>
            <w:hideMark/>
          </w:tcPr>
          <w:p w14:paraId="21676CD5" w14:textId="77777777" w:rsidR="00976130" w:rsidRPr="00976130" w:rsidRDefault="00976130" w:rsidP="00E51191">
            <w:pPr>
              <w:jc w:val="right"/>
            </w:pPr>
            <w:r w:rsidRPr="00976130">
              <w:t xml:space="preserve"> 35,48 </w:t>
            </w:r>
          </w:p>
        </w:tc>
        <w:tc>
          <w:tcPr>
            <w:tcW w:w="1084" w:type="dxa"/>
            <w:noWrap/>
            <w:hideMark/>
          </w:tcPr>
          <w:p w14:paraId="17C6F263" w14:textId="77777777" w:rsidR="00976130" w:rsidRPr="002C4D05" w:rsidRDefault="00976130" w:rsidP="00E51191">
            <w:pPr>
              <w:jc w:val="center"/>
              <w:rPr>
                <w:b/>
                <w:bCs/>
                <w:i/>
                <w:iCs/>
              </w:rPr>
            </w:pPr>
            <w:r w:rsidRPr="002C4D05">
              <w:rPr>
                <w:b/>
                <w:bCs/>
                <w:i/>
                <w:iCs/>
              </w:rPr>
              <w:t>21,0</w:t>
            </w:r>
          </w:p>
        </w:tc>
      </w:tr>
      <w:tr w:rsidR="00976130" w:rsidRPr="00976130" w14:paraId="27D80CAD" w14:textId="77777777" w:rsidTr="00E51191">
        <w:trPr>
          <w:trHeight w:val="300"/>
        </w:trPr>
        <w:tc>
          <w:tcPr>
            <w:tcW w:w="2972" w:type="dxa"/>
            <w:noWrap/>
            <w:hideMark/>
          </w:tcPr>
          <w:p w14:paraId="234CF37E" w14:textId="77777777" w:rsidR="00976130" w:rsidRPr="00976130" w:rsidRDefault="00976130" w:rsidP="00E51191">
            <w:pPr>
              <w:rPr>
                <w:lang w:val="en-US"/>
              </w:rPr>
            </w:pPr>
            <w:r w:rsidRPr="00976130">
              <w:rPr>
                <w:lang w:val="en-US"/>
              </w:rPr>
              <w:t>CO2-fortr., GA, kg/hs</w:t>
            </w:r>
          </w:p>
        </w:tc>
        <w:tc>
          <w:tcPr>
            <w:tcW w:w="411" w:type="dxa"/>
            <w:noWrap/>
            <w:hideMark/>
          </w:tcPr>
          <w:p w14:paraId="5A25F98B" w14:textId="77777777" w:rsidR="00976130" w:rsidRPr="00976130" w:rsidRDefault="00976130" w:rsidP="00E51191">
            <w:pPr>
              <w:jc w:val="right"/>
            </w:pPr>
            <w:r w:rsidRPr="00976130">
              <w:t xml:space="preserve">97,75 </w:t>
            </w:r>
          </w:p>
        </w:tc>
        <w:tc>
          <w:tcPr>
            <w:tcW w:w="856" w:type="dxa"/>
            <w:noWrap/>
            <w:hideMark/>
          </w:tcPr>
          <w:p w14:paraId="7DE3425A" w14:textId="77777777" w:rsidR="00976130" w:rsidRPr="00976130" w:rsidRDefault="00976130" w:rsidP="00E51191">
            <w:pPr>
              <w:jc w:val="right"/>
            </w:pPr>
            <w:r w:rsidRPr="00976130">
              <w:t xml:space="preserve">57,90 </w:t>
            </w:r>
          </w:p>
        </w:tc>
        <w:tc>
          <w:tcPr>
            <w:tcW w:w="856" w:type="dxa"/>
            <w:noWrap/>
            <w:hideMark/>
          </w:tcPr>
          <w:p w14:paraId="12757660" w14:textId="77777777" w:rsidR="00976130" w:rsidRPr="00976130" w:rsidRDefault="00976130" w:rsidP="00E51191">
            <w:pPr>
              <w:jc w:val="right"/>
            </w:pPr>
            <w:r w:rsidRPr="00976130">
              <w:t xml:space="preserve">13,28 </w:t>
            </w:r>
          </w:p>
        </w:tc>
        <w:tc>
          <w:tcPr>
            <w:tcW w:w="996" w:type="dxa"/>
            <w:noWrap/>
            <w:hideMark/>
          </w:tcPr>
          <w:p w14:paraId="3F4B0822" w14:textId="77777777" w:rsidR="00976130" w:rsidRPr="00976130" w:rsidRDefault="00976130" w:rsidP="00E51191">
            <w:pPr>
              <w:jc w:val="right"/>
            </w:pPr>
            <w:r w:rsidRPr="00976130">
              <w:t xml:space="preserve">168,94 </w:t>
            </w:r>
          </w:p>
        </w:tc>
        <w:tc>
          <w:tcPr>
            <w:tcW w:w="1084" w:type="dxa"/>
            <w:noWrap/>
            <w:hideMark/>
          </w:tcPr>
          <w:p w14:paraId="3C83D03A" w14:textId="77777777" w:rsidR="00976130" w:rsidRPr="00976130" w:rsidRDefault="00976130" w:rsidP="00E51191">
            <w:pPr>
              <w:jc w:val="center"/>
              <w:rPr>
                <w:i/>
                <w:iCs/>
              </w:rPr>
            </w:pPr>
            <w:r w:rsidRPr="00976130">
              <w:rPr>
                <w:i/>
                <w:iCs/>
              </w:rPr>
              <w:t>100,0</w:t>
            </w:r>
          </w:p>
        </w:tc>
      </w:tr>
      <w:tr w:rsidR="00976130" w:rsidRPr="00976130" w14:paraId="656E9288" w14:textId="77777777" w:rsidTr="00E51191">
        <w:trPr>
          <w:trHeight w:val="300"/>
        </w:trPr>
        <w:tc>
          <w:tcPr>
            <w:tcW w:w="2972" w:type="dxa"/>
            <w:noWrap/>
            <w:hideMark/>
          </w:tcPr>
          <w:p w14:paraId="266B06E4" w14:textId="77777777" w:rsidR="00976130" w:rsidRPr="00976130" w:rsidRDefault="00976130" w:rsidP="00E51191">
            <w:r w:rsidRPr="00976130">
              <w:t>Netto fortr., kg/hs/år</w:t>
            </w:r>
          </w:p>
        </w:tc>
        <w:tc>
          <w:tcPr>
            <w:tcW w:w="411" w:type="dxa"/>
            <w:noWrap/>
            <w:hideMark/>
          </w:tcPr>
          <w:p w14:paraId="72F41B96" w14:textId="77777777" w:rsidR="00976130" w:rsidRPr="00976130" w:rsidRDefault="00976130" w:rsidP="00E51191">
            <w:pPr>
              <w:jc w:val="right"/>
            </w:pPr>
            <w:r w:rsidRPr="00976130">
              <w:t xml:space="preserve">87,83 </w:t>
            </w:r>
          </w:p>
        </w:tc>
        <w:tc>
          <w:tcPr>
            <w:tcW w:w="856" w:type="dxa"/>
            <w:noWrap/>
            <w:hideMark/>
          </w:tcPr>
          <w:p w14:paraId="19D343A1" w14:textId="77777777" w:rsidR="00976130" w:rsidRPr="00976130" w:rsidRDefault="00976130" w:rsidP="00E51191">
            <w:pPr>
              <w:jc w:val="right"/>
            </w:pPr>
            <w:r w:rsidRPr="00976130">
              <w:t xml:space="preserve">44,95 </w:t>
            </w:r>
          </w:p>
        </w:tc>
        <w:tc>
          <w:tcPr>
            <w:tcW w:w="856" w:type="dxa"/>
            <w:noWrap/>
            <w:hideMark/>
          </w:tcPr>
          <w:p w14:paraId="58D62DF6" w14:textId="77777777" w:rsidR="00976130" w:rsidRPr="00976130" w:rsidRDefault="00976130" w:rsidP="00E51191">
            <w:pPr>
              <w:jc w:val="right"/>
            </w:pPr>
            <w:r w:rsidRPr="00976130">
              <w:t xml:space="preserve"> 0,67 </w:t>
            </w:r>
          </w:p>
        </w:tc>
        <w:tc>
          <w:tcPr>
            <w:tcW w:w="996" w:type="dxa"/>
            <w:noWrap/>
            <w:hideMark/>
          </w:tcPr>
          <w:p w14:paraId="2BAE123B" w14:textId="77777777" w:rsidR="00976130" w:rsidRPr="00976130" w:rsidRDefault="00976130" w:rsidP="00E51191">
            <w:pPr>
              <w:jc w:val="right"/>
            </w:pPr>
            <w:r w:rsidRPr="00976130">
              <w:t xml:space="preserve">133,46 </w:t>
            </w:r>
          </w:p>
        </w:tc>
        <w:tc>
          <w:tcPr>
            <w:tcW w:w="1084" w:type="dxa"/>
            <w:noWrap/>
            <w:hideMark/>
          </w:tcPr>
          <w:p w14:paraId="4FFE2F6F" w14:textId="77777777" w:rsidR="00976130" w:rsidRPr="00976130" w:rsidRDefault="00976130" w:rsidP="00E51191">
            <w:pPr>
              <w:jc w:val="center"/>
              <w:rPr>
                <w:i/>
                <w:iCs/>
              </w:rPr>
            </w:pPr>
            <w:r w:rsidRPr="00976130">
              <w:rPr>
                <w:i/>
                <w:iCs/>
              </w:rPr>
              <w:t>79,0</w:t>
            </w:r>
          </w:p>
        </w:tc>
      </w:tr>
    </w:tbl>
    <w:p w14:paraId="1E0B93EF" w14:textId="002FE999" w:rsidR="00976130" w:rsidRPr="00976130" w:rsidRDefault="00976130" w:rsidP="00976130">
      <w:r w:rsidRPr="00976130">
        <w:rPr>
          <w:i/>
          <w:iCs/>
        </w:rPr>
        <w:t>Tabel 5.1. CO2-emissioner ved transportarbejde forbundet med indsamling og langtransport af papir, MGP og madaffald, udtrykt i kg/husstand/år, sammenlignet med de tilsvarende gevinster ved genanvendelsen</w:t>
      </w:r>
      <w:r w:rsidR="002C4D05">
        <w:rPr>
          <w:i/>
          <w:iCs/>
        </w:rPr>
        <w:t xml:space="preserve"> (GA)</w:t>
      </w:r>
      <w:r w:rsidRPr="00976130">
        <w:rPr>
          <w:i/>
          <w:iCs/>
        </w:rPr>
        <w:t>. Når det indsamlede affald genanvendes, fortrænger det 169 kg CO2/husstand om året, men der udledes også 35 kg CO2/husstand om året ved selve indsamlingen og transporten af affaldet frem til genanvendelsen.</w:t>
      </w:r>
    </w:p>
    <w:p w14:paraId="3D36F08C" w14:textId="77777777" w:rsidR="00976130" w:rsidRPr="00976130" w:rsidRDefault="00976130" w:rsidP="00976130">
      <w:r w:rsidRPr="00976130">
        <w:t>Kommunen vil inddrage affaldsplanens tiltag i sin klimaplanlægning – og omvendt.</w:t>
      </w:r>
    </w:p>
    <w:p w14:paraId="50783AE7" w14:textId="77777777" w:rsidR="00976130" w:rsidRDefault="00976130" w:rsidP="005C6EE6"/>
    <w:p w14:paraId="39642A32" w14:textId="77777777" w:rsidR="00976130" w:rsidRDefault="00976130" w:rsidP="005C6EE6"/>
    <w:p w14:paraId="3DCBD17A" w14:textId="77777777" w:rsidR="005C6EE6" w:rsidRPr="005C6EE6" w:rsidRDefault="005C6EE6" w:rsidP="005C6EE6"/>
    <w:p w14:paraId="4F301B72" w14:textId="77777777" w:rsidR="005C6EE6" w:rsidRPr="005C6EE6" w:rsidRDefault="005C6EE6" w:rsidP="005C6EE6">
      <w:pPr>
        <w:rPr>
          <w:rFonts w:eastAsia="Times New Roman"/>
          <w:color w:val="2E74B5"/>
          <w:sz w:val="32"/>
          <w:szCs w:val="32"/>
        </w:rPr>
      </w:pPr>
      <w:bookmarkStart w:id="456" w:name="_Toc68090455"/>
      <w:bookmarkStart w:id="457" w:name="_Toc68530428"/>
      <w:bookmarkStart w:id="458" w:name="_Toc68582159"/>
      <w:bookmarkStart w:id="459" w:name="_Toc68611340"/>
      <w:bookmarkStart w:id="460" w:name="_Toc69216656"/>
      <w:bookmarkStart w:id="461" w:name="_Toc70950950"/>
      <w:r w:rsidRPr="005C6EE6">
        <w:br w:type="page"/>
      </w:r>
    </w:p>
    <w:p w14:paraId="0399D45C" w14:textId="6BC75303" w:rsidR="005C6EE6" w:rsidRPr="005C6EE6" w:rsidRDefault="005C6EE6" w:rsidP="00EA29FC">
      <w:pPr>
        <w:pStyle w:val="Overskrift1"/>
      </w:pPr>
      <w:bookmarkStart w:id="462" w:name="_Toc76126080"/>
      <w:bookmarkStart w:id="463" w:name="_Toc85189872"/>
      <w:r w:rsidRPr="005C6EE6">
        <w:lastRenderedPageBreak/>
        <w:t>Sammenhæng med kommunens øvrige strategier og planer</w:t>
      </w:r>
      <w:bookmarkEnd w:id="455"/>
      <w:bookmarkEnd w:id="456"/>
      <w:bookmarkEnd w:id="457"/>
      <w:bookmarkEnd w:id="458"/>
      <w:bookmarkEnd w:id="459"/>
      <w:bookmarkEnd w:id="460"/>
      <w:bookmarkEnd w:id="461"/>
      <w:bookmarkEnd w:id="462"/>
      <w:bookmarkEnd w:id="463"/>
      <w:r w:rsidRPr="005C6EE6">
        <w:t xml:space="preserve"> </w:t>
      </w:r>
    </w:p>
    <w:p w14:paraId="3F748F22" w14:textId="77777777" w:rsidR="005C6EE6" w:rsidRPr="005C6EE6" w:rsidRDefault="005C6EE6" w:rsidP="005C6EE6"/>
    <w:p w14:paraId="6C370AD8" w14:textId="67DCDE82" w:rsidR="00E04994" w:rsidRPr="00E20E27" w:rsidRDefault="00E04994" w:rsidP="00E04994">
      <w:pPr>
        <w:rPr>
          <w:rFonts w:ascii="Roboto" w:hAnsi="Roboto"/>
        </w:rPr>
      </w:pPr>
      <w:r>
        <w:rPr>
          <w:rFonts w:ascii="Roboto" w:hAnsi="Roboto"/>
        </w:rPr>
        <w:t>Vordingborg Kommune vil, hvor det er muligt og hensigtsmæssigt, samtænke affaldsplanen med andre politikker, planer og strategier i kommunen.</w:t>
      </w:r>
    </w:p>
    <w:p w14:paraId="529125B8" w14:textId="77777777" w:rsidR="00E04994" w:rsidRDefault="00E04994" w:rsidP="00E04994">
      <w:pPr>
        <w:rPr>
          <w:rFonts w:ascii="Roboto" w:hAnsi="Roboto"/>
        </w:rPr>
      </w:pPr>
      <w:r>
        <w:rPr>
          <w:rFonts w:ascii="Roboto" w:hAnsi="Roboto"/>
        </w:rPr>
        <w:t>Nedenfor er nævnt nogle af de steder, kommunen forventer et samspil.</w:t>
      </w:r>
    </w:p>
    <w:p w14:paraId="3770C2C6" w14:textId="7D08E876" w:rsidR="00F53CC8" w:rsidRDefault="00F53CC8" w:rsidP="00E20E27">
      <w:pPr>
        <w:spacing w:after="0"/>
        <w:rPr>
          <w:color w:val="FF0000"/>
        </w:rPr>
      </w:pPr>
    </w:p>
    <w:p w14:paraId="7A88BC03" w14:textId="11486FEB" w:rsidR="002A0975" w:rsidRDefault="00E04994" w:rsidP="00E20E27">
      <w:pPr>
        <w:spacing w:after="0"/>
        <w:rPr>
          <w:i/>
          <w:iCs/>
        </w:rPr>
      </w:pPr>
      <w:r w:rsidRPr="003B741D">
        <w:rPr>
          <w:i/>
          <w:iCs/>
        </w:rPr>
        <w:t xml:space="preserve">Plan for grøn omstilling </w:t>
      </w:r>
    </w:p>
    <w:p w14:paraId="4A5A0590" w14:textId="11B4B9A8" w:rsidR="00F53CC8" w:rsidRPr="003B741D" w:rsidRDefault="004E33C0" w:rsidP="00E20E27">
      <w:pPr>
        <w:spacing w:after="0"/>
      </w:pPr>
      <w:r>
        <w:t xml:space="preserve">Vordingborg Kommune vedtog i 2019 en plan for grøn omstilling i kommunen med en række initiativer og aktiviteter på tværs af kommunens virke. </w:t>
      </w:r>
      <w:r w:rsidR="00E04994" w:rsidRPr="003B741D">
        <w:t xml:space="preserve">Planen indeholder direkte affaldsrelaterede initiativer såsom afskaffelse af fraktionen ”småt brændbart” på genbrugspladserne </w:t>
      </w:r>
      <w:r w:rsidR="002A0975" w:rsidRPr="003B741D">
        <w:t xml:space="preserve">samt øget genanvendelse på kommunens egne institutioner. Planen indeholder også initiativer med relation til affaldsforebyggelse og ressourceanvendelse, såsom grøn indkøbspolitik og bæredygtig turisme. </w:t>
      </w:r>
    </w:p>
    <w:p w14:paraId="1FD48DE6" w14:textId="101D0535" w:rsidR="00D46971" w:rsidRDefault="00D46971" w:rsidP="00E20E27">
      <w:pPr>
        <w:spacing w:after="0"/>
        <w:rPr>
          <w:color w:val="FF0000"/>
        </w:rPr>
      </w:pPr>
    </w:p>
    <w:p w14:paraId="445D6A0A" w14:textId="291F6925" w:rsidR="00E04994" w:rsidRPr="00AC30B5" w:rsidRDefault="00E04994" w:rsidP="00E20E27">
      <w:pPr>
        <w:spacing w:after="0"/>
        <w:rPr>
          <w:i/>
          <w:iCs/>
        </w:rPr>
      </w:pPr>
      <w:r w:rsidRPr="00AC30B5">
        <w:rPr>
          <w:i/>
          <w:iCs/>
        </w:rPr>
        <w:t>Klimaplan</w:t>
      </w:r>
    </w:p>
    <w:p w14:paraId="35117E4B" w14:textId="0E2B4D32" w:rsidR="00AC30B5" w:rsidRPr="00AC30B5" w:rsidRDefault="00AC30B5" w:rsidP="00E20E27">
      <w:pPr>
        <w:spacing w:after="0"/>
      </w:pPr>
      <w:r w:rsidRPr="00AC30B5">
        <w:t>Vordingborg Kommune har siden 2010 arbejdet ud fra en samlet klimastrategi, som dækker både begrænsning af drivhusgasser og tilpasning til klimaændringerne.</w:t>
      </w:r>
    </w:p>
    <w:p w14:paraId="7ACD4CF4" w14:textId="77777777" w:rsidR="00AC30B5" w:rsidRPr="00AC30B5" w:rsidRDefault="00AC30B5" w:rsidP="00E20E27">
      <w:pPr>
        <w:spacing w:after="0"/>
      </w:pPr>
      <w:bookmarkStart w:id="464" w:name="_Hlk80947920"/>
      <w:r w:rsidRPr="00AC30B5">
        <w:t>CO</w:t>
      </w:r>
      <w:r w:rsidRPr="00AC30B5">
        <w:rPr>
          <w:vertAlign w:val="subscript"/>
        </w:rPr>
        <w:t>2</w:t>
      </w:r>
      <w:r w:rsidRPr="00AC30B5">
        <w:t xml:space="preserve">-reduktion </w:t>
      </w:r>
      <w:bookmarkEnd w:id="464"/>
      <w:r w:rsidRPr="00AC30B5">
        <w:t>handler om at medvirke til at nedsætte udslippet af drivhusgasser, som er årsagen til klimaforandringerne. Det kan f.eks. ske gennem reduktion af energiforbrug, udskiftning af energikilder til vedvarende energi og nedsætte behovet for biltrafik.</w:t>
      </w:r>
    </w:p>
    <w:p w14:paraId="310E2A5F" w14:textId="4D530187" w:rsidR="00AC30B5" w:rsidRPr="00AC30B5" w:rsidRDefault="00AC30B5" w:rsidP="00AC30B5">
      <w:r w:rsidRPr="00AC30B5">
        <w:t>Vi har gennem to aftaler forpligtiget os til at arbejde aktivt for at opnå CO</w:t>
      </w:r>
      <w:r w:rsidRPr="00AC30B5">
        <w:rPr>
          <w:vertAlign w:val="subscript"/>
        </w:rPr>
        <w:t>2</w:t>
      </w:r>
      <w:r w:rsidRPr="00AC30B5">
        <w:t>-reduktionsmålene:</w:t>
      </w:r>
    </w:p>
    <w:p w14:paraId="077C5090" w14:textId="77777777" w:rsidR="00AC30B5" w:rsidRPr="00AC30B5" w:rsidRDefault="00AC30B5" w:rsidP="00AC30B5">
      <w:pPr>
        <w:numPr>
          <w:ilvl w:val="0"/>
          <w:numId w:val="24"/>
        </w:numPr>
      </w:pPr>
      <w:r w:rsidRPr="00AC30B5">
        <w:t>Klimakommune - Aftale med Danmarks Naturfredningsforening</w:t>
      </w:r>
    </w:p>
    <w:p w14:paraId="6DA0FDCC" w14:textId="724C0A53" w:rsidR="00AC30B5" w:rsidRDefault="00AC30B5" w:rsidP="00AC30B5">
      <w:pPr>
        <w:numPr>
          <w:ilvl w:val="0"/>
          <w:numId w:val="24"/>
        </w:numPr>
      </w:pPr>
      <w:r w:rsidRPr="00AC30B5">
        <w:t>Borgmesterpagten – Aftale med EU</w:t>
      </w:r>
    </w:p>
    <w:p w14:paraId="44A3CA2F" w14:textId="5D432624" w:rsidR="00AC30B5" w:rsidRPr="00AD1049" w:rsidRDefault="001C52A0" w:rsidP="00AC30B5">
      <w:r>
        <w:t xml:space="preserve">I </w:t>
      </w:r>
      <w:r w:rsidR="00AC30B5">
        <w:t>kapitel</w:t>
      </w:r>
      <w:r w:rsidR="00AC30B5" w:rsidRPr="00AD1049">
        <w:t xml:space="preserve"> 5 </w:t>
      </w:r>
      <w:r>
        <w:t>er redegjort for affalds</w:t>
      </w:r>
      <w:r w:rsidR="00AC30B5">
        <w:t>planens</w:t>
      </w:r>
      <w:r>
        <w:t xml:space="preserve"> klimamæssige konsekvenser ved indsamling, behandling og genanvendelse af de forventede affaldsmængder</w:t>
      </w:r>
      <w:r w:rsidR="00AC30B5" w:rsidRPr="00AD1049">
        <w:t>.</w:t>
      </w:r>
    </w:p>
    <w:p w14:paraId="3EC08B3E" w14:textId="77777777" w:rsidR="00E04994" w:rsidRDefault="00E04994" w:rsidP="00E20E27">
      <w:pPr>
        <w:spacing w:after="0"/>
        <w:rPr>
          <w:color w:val="FF0000"/>
        </w:rPr>
      </w:pPr>
    </w:p>
    <w:p w14:paraId="39D5E3A7" w14:textId="48D1A26F" w:rsidR="008C23F5" w:rsidRPr="003B741D" w:rsidRDefault="002A0975" w:rsidP="00E20E27">
      <w:pPr>
        <w:spacing w:after="0"/>
        <w:rPr>
          <w:i/>
          <w:iCs/>
        </w:rPr>
      </w:pPr>
      <w:r w:rsidRPr="003B741D">
        <w:rPr>
          <w:i/>
          <w:iCs/>
        </w:rPr>
        <w:t>Strategi for jordhåndtering</w:t>
      </w:r>
    </w:p>
    <w:p w14:paraId="7D04E25E" w14:textId="1FC6D699" w:rsidR="002A0975" w:rsidRPr="003B741D" w:rsidRDefault="002A0975" w:rsidP="00E20E27">
      <w:pPr>
        <w:spacing w:after="0"/>
      </w:pPr>
      <w:r w:rsidRPr="003B741D">
        <w:t xml:space="preserve">Vordingborg Kommune arbejder med en strategi for at få en mere bæredygtig jordhåndtering i kommunen - både miljømæssigt og økonomisk. Omdrejningspunktet i strategien er, at overskudsjord i stedet for at være et dyrt affaldsprodukt for bygherrer skal være en ressource, der anvendes lokalt, hvor det graves op, eller nyttiggøres i projekter i Vordingborg Kommune til gavn for borgerne. Der er etableret </w:t>
      </w:r>
      <w:r w:rsidR="00881DFF" w:rsidRPr="003B741D">
        <w:t>jordkarteringsplads, jordbanker og en række nyttiggørelsesprojekter</w:t>
      </w:r>
      <w:r w:rsidR="00236EE4">
        <w:t>,</w:t>
      </w:r>
      <w:r w:rsidR="00881DFF" w:rsidRPr="003B741D">
        <w:t xml:space="preserve"> der skal sikre strategiens gennemførelse.</w:t>
      </w:r>
    </w:p>
    <w:p w14:paraId="56157EF4" w14:textId="77777777" w:rsidR="00881DFF" w:rsidRPr="003B741D" w:rsidRDefault="00881DFF" w:rsidP="005C6EE6"/>
    <w:p w14:paraId="49204514" w14:textId="1E19927D" w:rsidR="008C23F5" w:rsidRPr="003B741D" w:rsidRDefault="008C23F5" w:rsidP="00E20E27">
      <w:pPr>
        <w:spacing w:after="0"/>
        <w:rPr>
          <w:i/>
          <w:iCs/>
        </w:rPr>
      </w:pPr>
      <w:r w:rsidRPr="003B741D">
        <w:rPr>
          <w:i/>
          <w:iCs/>
        </w:rPr>
        <w:t>Affaldplus</w:t>
      </w:r>
    </w:p>
    <w:p w14:paraId="7A71108D" w14:textId="6407DC36" w:rsidR="00E04994" w:rsidRPr="00801366" w:rsidRDefault="00881DFF" w:rsidP="00E20E27">
      <w:pPr>
        <w:suppressAutoHyphens w:val="0"/>
        <w:autoSpaceDE w:val="0"/>
        <w:adjustRightInd w:val="0"/>
        <w:spacing w:after="0"/>
        <w:textAlignment w:val="auto"/>
        <w:rPr>
          <w:rFonts w:eastAsiaTheme="minorHAnsi"/>
        </w:rPr>
      </w:pPr>
      <w:r w:rsidRPr="00801366">
        <w:t xml:space="preserve">Kommunernes ejerstrategi fastlægger bl.a. at </w:t>
      </w:r>
      <w:r w:rsidR="004E33C0">
        <w:t>AffaldPlus</w:t>
      </w:r>
      <w:r w:rsidRPr="00801366">
        <w:t xml:space="preserve"> skal drives </w:t>
      </w:r>
      <w:r w:rsidRPr="00801366">
        <w:rPr>
          <w:rFonts w:eastAsiaTheme="minorHAnsi"/>
        </w:rPr>
        <w:t>på et miljømæssigt bæredygtigt grundlag og at selskabet er det gode eksempel, ved bl.a. at gå forrest med en klima- og miljøvenlig ressourcehåndtering på egne anlæg og faciliteter, samt arbejde med løbende klima- og miljøforbedringer.</w:t>
      </w:r>
      <w:r w:rsidRPr="00801366">
        <w:t xml:space="preserve"> </w:t>
      </w:r>
      <w:r w:rsidRPr="00801366">
        <w:rPr>
          <w:rFonts w:eastAsiaTheme="minorHAnsi"/>
        </w:rPr>
        <w:t xml:space="preserve">AffaldPlus udøver sine aktiviteter, så de tilgodeser </w:t>
      </w:r>
      <w:r w:rsidR="00801366" w:rsidRPr="00801366">
        <w:rPr>
          <w:rFonts w:eastAsiaTheme="minorHAnsi"/>
        </w:rPr>
        <w:t>kommunernes</w:t>
      </w:r>
      <w:r w:rsidRPr="00801366">
        <w:rPr>
          <w:rFonts w:eastAsiaTheme="minorHAnsi"/>
        </w:rPr>
        <w:t xml:space="preserve"> nuværende og fremtidige plangrundlag, herunder </w:t>
      </w:r>
      <w:r w:rsidR="00801366">
        <w:rPr>
          <w:rFonts w:eastAsiaTheme="minorHAnsi"/>
        </w:rPr>
        <w:t>k</w:t>
      </w:r>
      <w:r w:rsidRPr="00801366">
        <w:rPr>
          <w:rFonts w:eastAsiaTheme="minorHAnsi"/>
        </w:rPr>
        <w:t xml:space="preserve">ommuneplan, </w:t>
      </w:r>
      <w:r w:rsidR="00801366">
        <w:rPr>
          <w:rFonts w:eastAsiaTheme="minorHAnsi"/>
        </w:rPr>
        <w:t>k</w:t>
      </w:r>
      <w:r w:rsidRPr="00801366">
        <w:rPr>
          <w:rFonts w:eastAsiaTheme="minorHAnsi"/>
        </w:rPr>
        <w:t xml:space="preserve">limaplan og </w:t>
      </w:r>
      <w:r w:rsidR="00801366">
        <w:rPr>
          <w:rFonts w:eastAsiaTheme="minorHAnsi"/>
        </w:rPr>
        <w:t>a</w:t>
      </w:r>
      <w:r w:rsidRPr="00801366">
        <w:rPr>
          <w:rFonts w:eastAsiaTheme="minorHAnsi"/>
        </w:rPr>
        <w:t>ffaldsplan samt tilknyttede strategier.</w:t>
      </w:r>
    </w:p>
    <w:p w14:paraId="4A3BFBF2" w14:textId="5982C726" w:rsidR="00881DFF" w:rsidRDefault="00881DFF" w:rsidP="00E20E27">
      <w:pPr>
        <w:spacing w:after="0"/>
        <w:rPr>
          <w:color w:val="FF0000"/>
        </w:rPr>
      </w:pPr>
    </w:p>
    <w:p w14:paraId="091EF538" w14:textId="77777777" w:rsidR="00E20E27" w:rsidRDefault="00E20E27" w:rsidP="00E20E27">
      <w:pPr>
        <w:spacing w:after="0"/>
        <w:rPr>
          <w:color w:val="FF0000"/>
        </w:rPr>
      </w:pPr>
    </w:p>
    <w:p w14:paraId="245B5BE7" w14:textId="4DE3EB7E" w:rsidR="008C23F5" w:rsidRPr="00AD1049" w:rsidRDefault="008C23F5" w:rsidP="00E20E27">
      <w:pPr>
        <w:spacing w:after="0"/>
        <w:rPr>
          <w:i/>
          <w:iCs/>
        </w:rPr>
      </w:pPr>
      <w:r w:rsidRPr="00AD1049">
        <w:rPr>
          <w:i/>
          <w:iCs/>
        </w:rPr>
        <w:lastRenderedPageBreak/>
        <w:t>Indkøbspolitik</w:t>
      </w:r>
    </w:p>
    <w:p w14:paraId="17982D4F" w14:textId="14B8F505" w:rsidR="00AD1049" w:rsidRPr="00AD1049" w:rsidRDefault="00AD1049" w:rsidP="00E20E27">
      <w:pPr>
        <w:spacing w:after="0"/>
        <w:rPr>
          <w:rFonts w:ascii="Calibri" w:eastAsiaTheme="minorHAnsi" w:hAnsi="Calibri" w:cs="Calibri"/>
        </w:rPr>
      </w:pPr>
      <w:r>
        <w:t xml:space="preserve">Vordingborg Kommune arbejder på en ny indkøbspolitik, hvori </w:t>
      </w:r>
      <w:r w:rsidR="004922DA">
        <w:t>der</w:t>
      </w:r>
      <w:r>
        <w:t xml:space="preserve"> sigte</w:t>
      </w:r>
      <w:r w:rsidR="004922DA">
        <w:t>s</w:t>
      </w:r>
      <w:r>
        <w:t xml:space="preserve"> henimod at indarbejde bæredygtighed og grøn omstilling i videst muligt omfang. Af konkrete indsatsområder arbejdes der henimod øget fokus på miljø- og klimakrav i vores fremtidige indkøb og udbudsforretninger, ligesom der også arbejdes med det cirkulære indkøb og TCO</w:t>
      </w:r>
      <w:r w:rsidR="004E33C0">
        <w:t xml:space="preserve"> (Total Cost of Ownership)</w:t>
      </w:r>
      <w:r>
        <w:t xml:space="preserve">, hvor hele produktets livscyklus afdækkes, herunder også bortskaffelse og mulighed for genanvendelse. </w:t>
      </w:r>
    </w:p>
    <w:p w14:paraId="7E3A7418" w14:textId="73DB9468" w:rsidR="00DD5196" w:rsidRPr="00AD1049" w:rsidRDefault="00AD1049" w:rsidP="005C6EE6">
      <w:r>
        <w:t xml:space="preserve">Vordingborg Kommune er desuden medlem af indkøbsfællesskaberne SKI (Statens og Kommunernes Indkøbsservice) og FUS (Fælles Udbud Sjælland), som varetager store kommunale fællesudbud. Hos begge indkøbsfællesskaber stilles </w:t>
      </w:r>
      <w:r w:rsidR="004E33C0">
        <w:t>til stadighed</w:t>
      </w:r>
      <w:r>
        <w:t xml:space="preserve"> øgede krav til fx miljø, økologi, certificeret bæredygtigt træ, reduktion af kemi</w:t>
      </w:r>
      <w:r w:rsidR="004E33C0">
        <w:t>ka</w:t>
      </w:r>
      <w:r>
        <w:t xml:space="preserve">lier og udvalget af grønne miljømærkede klimavenlige alternativer øges.  </w:t>
      </w:r>
    </w:p>
    <w:p w14:paraId="34147525" w14:textId="15D91485" w:rsidR="00DD5196" w:rsidRPr="00AD1049" w:rsidRDefault="00E04994" w:rsidP="005C6EE6">
      <w:bookmarkStart w:id="465" w:name="_Hlk80948046"/>
      <w:r w:rsidRPr="00AD1049">
        <w:t>Se også afsnit 3.5. Overvejelser vedr. kommunens bidrag til affaldsforebyggelse.</w:t>
      </w:r>
    </w:p>
    <w:bookmarkEnd w:id="465"/>
    <w:p w14:paraId="2AD4B9CC" w14:textId="238B42D6" w:rsidR="00DD5196" w:rsidRDefault="00DD5196" w:rsidP="005C6EE6">
      <w:pPr>
        <w:rPr>
          <w:color w:val="FF0000"/>
        </w:rPr>
      </w:pPr>
    </w:p>
    <w:p w14:paraId="308FD912" w14:textId="77777777" w:rsidR="00DD5196" w:rsidRPr="00F53CC8" w:rsidRDefault="00DD5196" w:rsidP="005C6EE6">
      <w:pPr>
        <w:rPr>
          <w:color w:val="FF0000"/>
        </w:rPr>
      </w:pPr>
    </w:p>
    <w:p w14:paraId="132D80D0" w14:textId="77777777" w:rsidR="00EA474C" w:rsidRDefault="00EA474C" w:rsidP="005C6EE6">
      <w:bookmarkStart w:id="466" w:name="_Toc65685166"/>
      <w:bookmarkStart w:id="467" w:name="_Toc66217114"/>
      <w:bookmarkStart w:id="468" w:name="_Toc68083528"/>
      <w:bookmarkStart w:id="469" w:name="_Toc68090457"/>
      <w:bookmarkStart w:id="470" w:name="_Toc68530430"/>
      <w:bookmarkStart w:id="471" w:name="_Toc68582161"/>
      <w:bookmarkStart w:id="472" w:name="_Toc68611342"/>
      <w:bookmarkStart w:id="473" w:name="_Toc69216658"/>
      <w:bookmarkStart w:id="474" w:name="_Toc70950952"/>
    </w:p>
    <w:p w14:paraId="5760440C" w14:textId="53B379C9" w:rsidR="005C6EE6" w:rsidRPr="005C6EE6" w:rsidRDefault="005C6EE6" w:rsidP="005C6EE6">
      <w:pPr>
        <w:rPr>
          <w:rFonts w:eastAsia="Times New Roman"/>
          <w:color w:val="2E74B5"/>
          <w:sz w:val="32"/>
          <w:szCs w:val="32"/>
        </w:rPr>
      </w:pPr>
      <w:r w:rsidRPr="005C6EE6">
        <w:br w:type="page"/>
      </w:r>
    </w:p>
    <w:p w14:paraId="4D308A93" w14:textId="42A195F2" w:rsidR="00EA474C" w:rsidRDefault="00EA474C" w:rsidP="00EA474C">
      <w:pPr>
        <w:pStyle w:val="Overskrift1"/>
      </w:pPr>
      <w:bookmarkStart w:id="475" w:name="_Toc85189873"/>
      <w:bookmarkStart w:id="476" w:name="_Toc76126082"/>
      <w:r>
        <w:lastRenderedPageBreak/>
        <w:t>Tidsplan</w:t>
      </w:r>
      <w:bookmarkEnd w:id="475"/>
    </w:p>
    <w:tbl>
      <w:tblPr>
        <w:tblW w:w="9580" w:type="dxa"/>
        <w:tblCellMar>
          <w:top w:w="15" w:type="dxa"/>
          <w:left w:w="70" w:type="dxa"/>
          <w:right w:w="70" w:type="dxa"/>
        </w:tblCellMar>
        <w:tblLook w:val="04A0" w:firstRow="1" w:lastRow="0" w:firstColumn="1" w:lastColumn="0" w:noHBand="0" w:noVBand="1"/>
      </w:tblPr>
      <w:tblGrid>
        <w:gridCol w:w="3803"/>
        <w:gridCol w:w="937"/>
        <w:gridCol w:w="938"/>
        <w:gridCol w:w="939"/>
        <w:gridCol w:w="939"/>
        <w:gridCol w:w="939"/>
        <w:gridCol w:w="939"/>
        <w:gridCol w:w="146"/>
      </w:tblGrid>
      <w:tr w:rsidR="003777F2" w:rsidRPr="003777F2" w14:paraId="578A6677" w14:textId="77777777" w:rsidTr="003777F2">
        <w:trPr>
          <w:gridAfter w:val="1"/>
          <w:wAfter w:w="36" w:type="dxa"/>
          <w:trHeight w:val="390"/>
        </w:trPr>
        <w:tc>
          <w:tcPr>
            <w:tcW w:w="9544" w:type="dxa"/>
            <w:gridSpan w:val="7"/>
            <w:tcBorders>
              <w:top w:val="single" w:sz="8" w:space="0" w:color="auto"/>
              <w:left w:val="single" w:sz="8" w:space="0" w:color="auto"/>
              <w:bottom w:val="single" w:sz="8" w:space="0" w:color="auto"/>
              <w:right w:val="single" w:sz="8" w:space="0" w:color="000000"/>
            </w:tcBorders>
            <w:shd w:val="clear" w:color="000000" w:fill="9BC2E6"/>
            <w:vAlign w:val="center"/>
            <w:hideMark/>
          </w:tcPr>
          <w:p w14:paraId="64F64A39" w14:textId="77777777" w:rsidR="003777F2" w:rsidRPr="003777F2" w:rsidRDefault="003777F2" w:rsidP="003777F2">
            <w:pPr>
              <w:suppressAutoHyphens w:val="0"/>
              <w:autoSpaceDN/>
              <w:spacing w:after="0"/>
              <w:textAlignment w:val="auto"/>
              <w:rPr>
                <w:rFonts w:ascii="Calibri" w:eastAsia="Times New Roman" w:hAnsi="Calibri" w:cs="Calibri"/>
                <w:b/>
                <w:bCs/>
                <w:color w:val="000000"/>
                <w:sz w:val="28"/>
                <w:szCs w:val="28"/>
                <w:lang w:eastAsia="da-DK"/>
              </w:rPr>
            </w:pPr>
            <w:r w:rsidRPr="003777F2">
              <w:rPr>
                <w:rFonts w:ascii="Calibri" w:eastAsia="Times New Roman" w:hAnsi="Calibri" w:cs="Calibri"/>
                <w:b/>
                <w:bCs/>
                <w:color w:val="000000"/>
                <w:sz w:val="28"/>
                <w:szCs w:val="28"/>
                <w:lang w:eastAsia="da-DK"/>
              </w:rPr>
              <w:t>Husholdninger</w:t>
            </w:r>
          </w:p>
        </w:tc>
      </w:tr>
      <w:tr w:rsidR="003777F2" w:rsidRPr="003777F2" w14:paraId="63765524" w14:textId="77777777" w:rsidTr="003777F2">
        <w:trPr>
          <w:gridAfter w:val="1"/>
          <w:wAfter w:w="36" w:type="dxa"/>
          <w:trHeight w:val="315"/>
        </w:trPr>
        <w:tc>
          <w:tcPr>
            <w:tcW w:w="3803" w:type="dxa"/>
            <w:tcBorders>
              <w:top w:val="nil"/>
              <w:left w:val="single" w:sz="8" w:space="0" w:color="auto"/>
              <w:bottom w:val="single" w:sz="8" w:space="0" w:color="auto"/>
              <w:right w:val="single" w:sz="8" w:space="0" w:color="auto"/>
            </w:tcBorders>
            <w:shd w:val="clear" w:color="auto" w:fill="auto"/>
            <w:noWrap/>
            <w:vAlign w:val="bottom"/>
            <w:hideMark/>
          </w:tcPr>
          <w:p w14:paraId="7389C370"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6" w:type="dxa"/>
            <w:tcBorders>
              <w:top w:val="nil"/>
              <w:left w:val="nil"/>
              <w:bottom w:val="single" w:sz="8" w:space="0" w:color="auto"/>
              <w:right w:val="single" w:sz="8" w:space="0" w:color="auto"/>
            </w:tcBorders>
            <w:shd w:val="clear" w:color="auto" w:fill="auto"/>
            <w:vAlign w:val="center"/>
            <w:hideMark/>
          </w:tcPr>
          <w:p w14:paraId="071B8239"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2022</w:t>
            </w:r>
          </w:p>
        </w:tc>
        <w:tc>
          <w:tcPr>
            <w:tcW w:w="957" w:type="dxa"/>
            <w:tcBorders>
              <w:top w:val="nil"/>
              <w:left w:val="nil"/>
              <w:bottom w:val="single" w:sz="8" w:space="0" w:color="auto"/>
              <w:right w:val="single" w:sz="8" w:space="0" w:color="auto"/>
            </w:tcBorders>
            <w:shd w:val="clear" w:color="auto" w:fill="auto"/>
            <w:vAlign w:val="center"/>
            <w:hideMark/>
          </w:tcPr>
          <w:p w14:paraId="455F72CA"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2023</w:t>
            </w:r>
          </w:p>
        </w:tc>
        <w:tc>
          <w:tcPr>
            <w:tcW w:w="957" w:type="dxa"/>
            <w:tcBorders>
              <w:top w:val="nil"/>
              <w:left w:val="nil"/>
              <w:bottom w:val="single" w:sz="8" w:space="0" w:color="auto"/>
              <w:right w:val="single" w:sz="8" w:space="0" w:color="auto"/>
            </w:tcBorders>
            <w:shd w:val="clear" w:color="auto" w:fill="auto"/>
            <w:vAlign w:val="center"/>
            <w:hideMark/>
          </w:tcPr>
          <w:p w14:paraId="79C37E0E"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2024</w:t>
            </w:r>
          </w:p>
        </w:tc>
        <w:tc>
          <w:tcPr>
            <w:tcW w:w="957" w:type="dxa"/>
            <w:tcBorders>
              <w:top w:val="nil"/>
              <w:left w:val="nil"/>
              <w:bottom w:val="single" w:sz="8" w:space="0" w:color="auto"/>
              <w:right w:val="single" w:sz="8" w:space="0" w:color="auto"/>
            </w:tcBorders>
            <w:shd w:val="clear" w:color="auto" w:fill="auto"/>
            <w:vAlign w:val="center"/>
            <w:hideMark/>
          </w:tcPr>
          <w:p w14:paraId="5BC7D4A6"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2025</w:t>
            </w:r>
          </w:p>
        </w:tc>
        <w:tc>
          <w:tcPr>
            <w:tcW w:w="957" w:type="dxa"/>
            <w:tcBorders>
              <w:top w:val="nil"/>
              <w:left w:val="nil"/>
              <w:bottom w:val="single" w:sz="8" w:space="0" w:color="auto"/>
              <w:right w:val="single" w:sz="8" w:space="0" w:color="auto"/>
            </w:tcBorders>
            <w:shd w:val="clear" w:color="auto" w:fill="auto"/>
            <w:vAlign w:val="center"/>
            <w:hideMark/>
          </w:tcPr>
          <w:p w14:paraId="1C35BDFF"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2026</w:t>
            </w:r>
          </w:p>
        </w:tc>
        <w:tc>
          <w:tcPr>
            <w:tcW w:w="957" w:type="dxa"/>
            <w:tcBorders>
              <w:top w:val="nil"/>
              <w:left w:val="nil"/>
              <w:bottom w:val="single" w:sz="8" w:space="0" w:color="auto"/>
              <w:right w:val="single" w:sz="8" w:space="0" w:color="auto"/>
            </w:tcBorders>
            <w:shd w:val="clear" w:color="auto" w:fill="auto"/>
            <w:vAlign w:val="center"/>
            <w:hideMark/>
          </w:tcPr>
          <w:p w14:paraId="54C6A35F"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2027</w:t>
            </w:r>
          </w:p>
        </w:tc>
      </w:tr>
      <w:tr w:rsidR="003777F2" w:rsidRPr="003777F2" w14:paraId="0993BF2C" w14:textId="77777777" w:rsidTr="003777F2">
        <w:trPr>
          <w:gridAfter w:val="1"/>
          <w:wAfter w:w="36" w:type="dxa"/>
          <w:trHeight w:val="345"/>
        </w:trPr>
        <w:tc>
          <w:tcPr>
            <w:tcW w:w="9544"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4DAD39EB" w14:textId="77777777" w:rsidR="003777F2" w:rsidRPr="003777F2" w:rsidRDefault="003777F2" w:rsidP="003777F2">
            <w:pPr>
              <w:suppressAutoHyphens w:val="0"/>
              <w:autoSpaceDN/>
              <w:spacing w:after="0"/>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Restaffald</w:t>
            </w:r>
          </w:p>
        </w:tc>
      </w:tr>
      <w:tr w:rsidR="003777F2" w:rsidRPr="003777F2" w14:paraId="23E19B8B" w14:textId="77777777" w:rsidTr="003777F2">
        <w:trPr>
          <w:gridAfter w:val="1"/>
          <w:wAfter w:w="36" w:type="dxa"/>
          <w:trHeight w:val="491"/>
        </w:trPr>
        <w:tc>
          <w:tcPr>
            <w:tcW w:w="3803" w:type="dxa"/>
            <w:vMerge w:val="restart"/>
            <w:tcBorders>
              <w:top w:val="nil"/>
              <w:left w:val="single" w:sz="8" w:space="0" w:color="auto"/>
              <w:bottom w:val="nil"/>
              <w:right w:val="single" w:sz="8" w:space="0" w:color="auto"/>
            </w:tcBorders>
            <w:shd w:val="clear" w:color="auto" w:fill="auto"/>
            <w:vAlign w:val="center"/>
            <w:hideMark/>
          </w:tcPr>
          <w:p w14:paraId="0419A373"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Information om sortering med særlig fokus på at undgå farligt og genanvendeligt affald i restaffaldet</w:t>
            </w:r>
          </w:p>
        </w:tc>
        <w:tc>
          <w:tcPr>
            <w:tcW w:w="956" w:type="dxa"/>
            <w:vMerge w:val="restart"/>
            <w:tcBorders>
              <w:top w:val="nil"/>
              <w:left w:val="single" w:sz="8" w:space="0" w:color="auto"/>
              <w:bottom w:val="nil"/>
              <w:right w:val="single" w:sz="8" w:space="0" w:color="auto"/>
            </w:tcBorders>
            <w:shd w:val="clear" w:color="auto" w:fill="auto"/>
            <w:vAlign w:val="center"/>
            <w:hideMark/>
          </w:tcPr>
          <w:p w14:paraId="66A0298C"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nil"/>
              <w:right w:val="single" w:sz="8" w:space="0" w:color="auto"/>
            </w:tcBorders>
            <w:shd w:val="clear" w:color="auto" w:fill="auto"/>
            <w:vAlign w:val="center"/>
            <w:hideMark/>
          </w:tcPr>
          <w:p w14:paraId="2966D799"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vMerge w:val="restart"/>
            <w:tcBorders>
              <w:top w:val="nil"/>
              <w:left w:val="single" w:sz="8" w:space="0" w:color="auto"/>
              <w:bottom w:val="nil"/>
              <w:right w:val="single" w:sz="8" w:space="0" w:color="auto"/>
            </w:tcBorders>
            <w:shd w:val="clear" w:color="auto" w:fill="auto"/>
            <w:vAlign w:val="center"/>
            <w:hideMark/>
          </w:tcPr>
          <w:p w14:paraId="6969C619"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vMerge w:val="restart"/>
            <w:tcBorders>
              <w:top w:val="nil"/>
              <w:left w:val="single" w:sz="8" w:space="0" w:color="auto"/>
              <w:bottom w:val="nil"/>
              <w:right w:val="single" w:sz="8" w:space="0" w:color="auto"/>
            </w:tcBorders>
            <w:shd w:val="clear" w:color="auto" w:fill="auto"/>
            <w:vAlign w:val="center"/>
            <w:hideMark/>
          </w:tcPr>
          <w:p w14:paraId="19E18BCB"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nil"/>
              <w:right w:val="single" w:sz="8" w:space="0" w:color="auto"/>
            </w:tcBorders>
            <w:shd w:val="clear" w:color="auto" w:fill="auto"/>
            <w:vAlign w:val="center"/>
            <w:hideMark/>
          </w:tcPr>
          <w:p w14:paraId="7CBCB4FF"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vMerge w:val="restart"/>
            <w:tcBorders>
              <w:top w:val="nil"/>
              <w:left w:val="single" w:sz="8" w:space="0" w:color="auto"/>
              <w:bottom w:val="nil"/>
              <w:right w:val="single" w:sz="8" w:space="0" w:color="auto"/>
            </w:tcBorders>
            <w:shd w:val="clear" w:color="auto" w:fill="auto"/>
            <w:vAlign w:val="center"/>
            <w:hideMark/>
          </w:tcPr>
          <w:p w14:paraId="6E789B10"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r>
      <w:tr w:rsidR="003777F2" w:rsidRPr="003777F2" w14:paraId="20B7BBFE" w14:textId="77777777" w:rsidTr="003777F2">
        <w:trPr>
          <w:trHeight w:val="300"/>
        </w:trPr>
        <w:tc>
          <w:tcPr>
            <w:tcW w:w="3803" w:type="dxa"/>
            <w:vMerge/>
            <w:tcBorders>
              <w:top w:val="nil"/>
              <w:left w:val="single" w:sz="8" w:space="0" w:color="auto"/>
              <w:bottom w:val="nil"/>
              <w:right w:val="single" w:sz="8" w:space="0" w:color="auto"/>
            </w:tcBorders>
            <w:vAlign w:val="center"/>
            <w:hideMark/>
          </w:tcPr>
          <w:p w14:paraId="2118D82C"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6" w:type="dxa"/>
            <w:vMerge/>
            <w:tcBorders>
              <w:top w:val="nil"/>
              <w:left w:val="single" w:sz="8" w:space="0" w:color="auto"/>
              <w:bottom w:val="nil"/>
              <w:right w:val="single" w:sz="8" w:space="0" w:color="auto"/>
            </w:tcBorders>
            <w:vAlign w:val="center"/>
            <w:hideMark/>
          </w:tcPr>
          <w:p w14:paraId="5129DE0F"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nil"/>
              <w:right w:val="single" w:sz="8" w:space="0" w:color="auto"/>
            </w:tcBorders>
            <w:vAlign w:val="center"/>
            <w:hideMark/>
          </w:tcPr>
          <w:p w14:paraId="4E38C9A1"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nil"/>
              <w:right w:val="single" w:sz="8" w:space="0" w:color="auto"/>
            </w:tcBorders>
            <w:vAlign w:val="center"/>
            <w:hideMark/>
          </w:tcPr>
          <w:p w14:paraId="739BF9B4"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nil"/>
              <w:right w:val="single" w:sz="8" w:space="0" w:color="auto"/>
            </w:tcBorders>
            <w:vAlign w:val="center"/>
            <w:hideMark/>
          </w:tcPr>
          <w:p w14:paraId="41C774E3"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nil"/>
              <w:right w:val="single" w:sz="8" w:space="0" w:color="auto"/>
            </w:tcBorders>
            <w:vAlign w:val="center"/>
            <w:hideMark/>
          </w:tcPr>
          <w:p w14:paraId="1BDC041B"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nil"/>
              <w:right w:val="single" w:sz="8" w:space="0" w:color="auto"/>
            </w:tcBorders>
            <w:vAlign w:val="center"/>
            <w:hideMark/>
          </w:tcPr>
          <w:p w14:paraId="629638E7"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36" w:type="dxa"/>
            <w:tcBorders>
              <w:top w:val="nil"/>
              <w:left w:val="nil"/>
              <w:bottom w:val="nil"/>
              <w:right w:val="nil"/>
            </w:tcBorders>
            <w:shd w:val="clear" w:color="auto" w:fill="auto"/>
            <w:noWrap/>
            <w:vAlign w:val="bottom"/>
            <w:hideMark/>
          </w:tcPr>
          <w:p w14:paraId="3811DF7E"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p>
        </w:tc>
      </w:tr>
      <w:tr w:rsidR="003777F2" w:rsidRPr="003777F2" w14:paraId="75788AA4" w14:textId="77777777" w:rsidTr="003777F2">
        <w:trPr>
          <w:trHeight w:val="315"/>
        </w:trPr>
        <w:tc>
          <w:tcPr>
            <w:tcW w:w="3803" w:type="dxa"/>
            <w:vMerge/>
            <w:tcBorders>
              <w:top w:val="nil"/>
              <w:left w:val="single" w:sz="8" w:space="0" w:color="auto"/>
              <w:bottom w:val="nil"/>
              <w:right w:val="single" w:sz="8" w:space="0" w:color="auto"/>
            </w:tcBorders>
            <w:vAlign w:val="center"/>
            <w:hideMark/>
          </w:tcPr>
          <w:p w14:paraId="43B3C33C"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6" w:type="dxa"/>
            <w:vMerge/>
            <w:tcBorders>
              <w:top w:val="nil"/>
              <w:left w:val="single" w:sz="8" w:space="0" w:color="auto"/>
              <w:bottom w:val="nil"/>
              <w:right w:val="single" w:sz="8" w:space="0" w:color="auto"/>
            </w:tcBorders>
            <w:vAlign w:val="center"/>
            <w:hideMark/>
          </w:tcPr>
          <w:p w14:paraId="6255A4F8"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nil"/>
              <w:right w:val="single" w:sz="8" w:space="0" w:color="auto"/>
            </w:tcBorders>
            <w:vAlign w:val="center"/>
            <w:hideMark/>
          </w:tcPr>
          <w:p w14:paraId="0AA6A593"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nil"/>
              <w:right w:val="single" w:sz="8" w:space="0" w:color="auto"/>
            </w:tcBorders>
            <w:vAlign w:val="center"/>
            <w:hideMark/>
          </w:tcPr>
          <w:p w14:paraId="362AA5F6"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nil"/>
              <w:right w:val="single" w:sz="8" w:space="0" w:color="auto"/>
            </w:tcBorders>
            <w:vAlign w:val="center"/>
            <w:hideMark/>
          </w:tcPr>
          <w:p w14:paraId="1D2D92A1"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nil"/>
              <w:right w:val="single" w:sz="8" w:space="0" w:color="auto"/>
            </w:tcBorders>
            <w:vAlign w:val="center"/>
            <w:hideMark/>
          </w:tcPr>
          <w:p w14:paraId="785EF02B"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nil"/>
              <w:right w:val="single" w:sz="8" w:space="0" w:color="auto"/>
            </w:tcBorders>
            <w:vAlign w:val="center"/>
            <w:hideMark/>
          </w:tcPr>
          <w:p w14:paraId="6D309EF9"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36" w:type="dxa"/>
            <w:tcBorders>
              <w:top w:val="nil"/>
              <w:left w:val="nil"/>
              <w:bottom w:val="nil"/>
              <w:right w:val="nil"/>
            </w:tcBorders>
            <w:shd w:val="clear" w:color="auto" w:fill="auto"/>
            <w:noWrap/>
            <w:vAlign w:val="bottom"/>
            <w:hideMark/>
          </w:tcPr>
          <w:p w14:paraId="7D4FB24F"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73AB3C3B" w14:textId="77777777" w:rsidTr="003777F2">
        <w:trPr>
          <w:trHeight w:val="315"/>
        </w:trPr>
        <w:tc>
          <w:tcPr>
            <w:tcW w:w="9544"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2C6B9EDB" w14:textId="77777777" w:rsidR="003777F2" w:rsidRPr="003777F2" w:rsidRDefault="003777F2" w:rsidP="003777F2">
            <w:pPr>
              <w:suppressAutoHyphens w:val="0"/>
              <w:autoSpaceDN/>
              <w:spacing w:after="0"/>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Madaffald (KOD)</w:t>
            </w:r>
          </w:p>
        </w:tc>
        <w:tc>
          <w:tcPr>
            <w:tcW w:w="36" w:type="dxa"/>
            <w:vAlign w:val="center"/>
            <w:hideMark/>
          </w:tcPr>
          <w:p w14:paraId="37B9F2FA"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22EF2DFF" w14:textId="77777777" w:rsidTr="003777F2">
        <w:trPr>
          <w:trHeight w:val="360"/>
        </w:trPr>
        <w:tc>
          <w:tcPr>
            <w:tcW w:w="3803" w:type="dxa"/>
            <w:tcBorders>
              <w:top w:val="nil"/>
              <w:left w:val="single" w:sz="8" w:space="0" w:color="auto"/>
              <w:bottom w:val="single" w:sz="8" w:space="0" w:color="auto"/>
              <w:right w:val="single" w:sz="8" w:space="0" w:color="auto"/>
            </w:tcBorders>
            <w:shd w:val="clear" w:color="auto" w:fill="auto"/>
            <w:vAlign w:val="center"/>
            <w:hideMark/>
          </w:tcPr>
          <w:p w14:paraId="0B32945B"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Information om ordning og sortering</w:t>
            </w:r>
          </w:p>
        </w:tc>
        <w:tc>
          <w:tcPr>
            <w:tcW w:w="956" w:type="dxa"/>
            <w:tcBorders>
              <w:top w:val="nil"/>
              <w:left w:val="nil"/>
              <w:bottom w:val="single" w:sz="8" w:space="0" w:color="auto"/>
              <w:right w:val="single" w:sz="8" w:space="0" w:color="auto"/>
            </w:tcBorders>
            <w:shd w:val="clear" w:color="auto" w:fill="auto"/>
            <w:vAlign w:val="center"/>
            <w:hideMark/>
          </w:tcPr>
          <w:p w14:paraId="2E721058"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68E9DD07"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6ED1464F"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6D832CB2"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5C56AD5C"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044596A4"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7CB0BA7C"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4C5D9BFD" w14:textId="77777777" w:rsidTr="003777F2">
        <w:trPr>
          <w:trHeight w:val="315"/>
        </w:trPr>
        <w:tc>
          <w:tcPr>
            <w:tcW w:w="9544"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4CC4485B" w14:textId="77777777" w:rsidR="003777F2" w:rsidRPr="003777F2" w:rsidRDefault="003777F2" w:rsidP="003777F2">
            <w:pPr>
              <w:suppressAutoHyphens w:val="0"/>
              <w:autoSpaceDN/>
              <w:spacing w:after="0"/>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Metalaffald</w:t>
            </w:r>
          </w:p>
        </w:tc>
        <w:tc>
          <w:tcPr>
            <w:tcW w:w="36" w:type="dxa"/>
            <w:vAlign w:val="center"/>
            <w:hideMark/>
          </w:tcPr>
          <w:p w14:paraId="2118B828"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6FA803A4" w14:textId="77777777" w:rsidTr="003777F2">
        <w:trPr>
          <w:trHeight w:val="420"/>
        </w:trPr>
        <w:tc>
          <w:tcPr>
            <w:tcW w:w="3803" w:type="dxa"/>
            <w:tcBorders>
              <w:top w:val="nil"/>
              <w:left w:val="single" w:sz="8" w:space="0" w:color="auto"/>
              <w:bottom w:val="single" w:sz="8" w:space="0" w:color="auto"/>
              <w:right w:val="single" w:sz="8" w:space="0" w:color="auto"/>
            </w:tcBorders>
            <w:shd w:val="clear" w:color="auto" w:fill="auto"/>
            <w:vAlign w:val="center"/>
            <w:hideMark/>
          </w:tcPr>
          <w:p w14:paraId="3E36215C"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Information om ordning og sortering</w:t>
            </w:r>
          </w:p>
        </w:tc>
        <w:tc>
          <w:tcPr>
            <w:tcW w:w="956" w:type="dxa"/>
            <w:tcBorders>
              <w:top w:val="nil"/>
              <w:left w:val="nil"/>
              <w:bottom w:val="single" w:sz="8" w:space="0" w:color="auto"/>
              <w:right w:val="single" w:sz="8" w:space="0" w:color="auto"/>
            </w:tcBorders>
            <w:shd w:val="clear" w:color="auto" w:fill="auto"/>
            <w:vAlign w:val="center"/>
            <w:hideMark/>
          </w:tcPr>
          <w:p w14:paraId="3DAAA834"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5703AE4D"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4342B0E4"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7088EA66"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4F954783"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2CE53B31"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711C8F07"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03533E32" w14:textId="77777777" w:rsidTr="003777F2">
        <w:trPr>
          <w:trHeight w:val="300"/>
        </w:trPr>
        <w:tc>
          <w:tcPr>
            <w:tcW w:w="3803" w:type="dxa"/>
            <w:vMerge w:val="restart"/>
            <w:tcBorders>
              <w:top w:val="nil"/>
              <w:left w:val="single" w:sz="8" w:space="0" w:color="auto"/>
              <w:bottom w:val="single" w:sz="8" w:space="0" w:color="000000"/>
              <w:right w:val="single" w:sz="8" w:space="0" w:color="auto"/>
            </w:tcBorders>
            <w:shd w:val="clear" w:color="auto" w:fill="auto"/>
            <w:vAlign w:val="center"/>
            <w:hideMark/>
          </w:tcPr>
          <w:p w14:paraId="1BA08D69"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Ophøre kombineret indsamling af metal, glas og plast</w:t>
            </w:r>
          </w:p>
        </w:tc>
        <w:tc>
          <w:tcPr>
            <w:tcW w:w="956" w:type="dxa"/>
            <w:vMerge w:val="restart"/>
            <w:tcBorders>
              <w:top w:val="nil"/>
              <w:left w:val="single" w:sz="8" w:space="0" w:color="auto"/>
              <w:bottom w:val="single" w:sz="8" w:space="0" w:color="000000"/>
              <w:right w:val="single" w:sz="8" w:space="0" w:color="auto"/>
            </w:tcBorders>
            <w:shd w:val="clear" w:color="auto" w:fill="auto"/>
            <w:vAlign w:val="center"/>
            <w:hideMark/>
          </w:tcPr>
          <w:p w14:paraId="795DBF18"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1C7906A3"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6A006C0F"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2D3E7B47"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510C27FC"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5A66DC8A"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37278CD9"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40D9EBCB" w14:textId="77777777" w:rsidTr="003777F2">
        <w:trPr>
          <w:trHeight w:val="315"/>
        </w:trPr>
        <w:tc>
          <w:tcPr>
            <w:tcW w:w="3803" w:type="dxa"/>
            <w:vMerge/>
            <w:tcBorders>
              <w:top w:val="nil"/>
              <w:left w:val="single" w:sz="8" w:space="0" w:color="auto"/>
              <w:bottom w:val="single" w:sz="8" w:space="0" w:color="000000"/>
              <w:right w:val="single" w:sz="8" w:space="0" w:color="auto"/>
            </w:tcBorders>
            <w:vAlign w:val="center"/>
            <w:hideMark/>
          </w:tcPr>
          <w:p w14:paraId="2B85C414"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6" w:type="dxa"/>
            <w:vMerge/>
            <w:tcBorders>
              <w:top w:val="nil"/>
              <w:left w:val="single" w:sz="8" w:space="0" w:color="auto"/>
              <w:bottom w:val="single" w:sz="8" w:space="0" w:color="000000"/>
              <w:right w:val="single" w:sz="8" w:space="0" w:color="auto"/>
            </w:tcBorders>
            <w:vAlign w:val="center"/>
            <w:hideMark/>
          </w:tcPr>
          <w:p w14:paraId="45C00AC9"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736A917D"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5A5C6BC2"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269EDB5A"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3751D86C"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59E88112"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36" w:type="dxa"/>
            <w:tcBorders>
              <w:top w:val="nil"/>
              <w:left w:val="nil"/>
              <w:bottom w:val="nil"/>
              <w:right w:val="nil"/>
            </w:tcBorders>
            <w:shd w:val="clear" w:color="auto" w:fill="auto"/>
            <w:noWrap/>
            <w:vAlign w:val="bottom"/>
            <w:hideMark/>
          </w:tcPr>
          <w:p w14:paraId="47AC8793"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p>
        </w:tc>
      </w:tr>
      <w:tr w:rsidR="003777F2" w:rsidRPr="003777F2" w14:paraId="664F6798" w14:textId="77777777" w:rsidTr="003777F2">
        <w:trPr>
          <w:trHeight w:val="315"/>
        </w:trPr>
        <w:tc>
          <w:tcPr>
            <w:tcW w:w="9544"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033798FA" w14:textId="77777777" w:rsidR="003777F2" w:rsidRPr="003777F2" w:rsidRDefault="003777F2" w:rsidP="003777F2">
            <w:pPr>
              <w:suppressAutoHyphens w:val="0"/>
              <w:autoSpaceDN/>
              <w:spacing w:after="0"/>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Glasaffald</w:t>
            </w:r>
          </w:p>
        </w:tc>
        <w:tc>
          <w:tcPr>
            <w:tcW w:w="36" w:type="dxa"/>
            <w:vAlign w:val="center"/>
            <w:hideMark/>
          </w:tcPr>
          <w:p w14:paraId="06F45437"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3FCE7937" w14:textId="77777777" w:rsidTr="003777F2">
        <w:trPr>
          <w:trHeight w:val="315"/>
        </w:trPr>
        <w:tc>
          <w:tcPr>
            <w:tcW w:w="3803" w:type="dxa"/>
            <w:tcBorders>
              <w:top w:val="nil"/>
              <w:left w:val="single" w:sz="8" w:space="0" w:color="auto"/>
              <w:bottom w:val="single" w:sz="8" w:space="0" w:color="auto"/>
              <w:right w:val="single" w:sz="8" w:space="0" w:color="auto"/>
            </w:tcBorders>
            <w:shd w:val="clear" w:color="auto" w:fill="auto"/>
            <w:vAlign w:val="center"/>
            <w:hideMark/>
          </w:tcPr>
          <w:p w14:paraId="0F462A19"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Information om ordning og sortering</w:t>
            </w:r>
          </w:p>
        </w:tc>
        <w:tc>
          <w:tcPr>
            <w:tcW w:w="956" w:type="dxa"/>
            <w:tcBorders>
              <w:top w:val="nil"/>
              <w:left w:val="nil"/>
              <w:bottom w:val="single" w:sz="8" w:space="0" w:color="auto"/>
              <w:right w:val="single" w:sz="8" w:space="0" w:color="auto"/>
            </w:tcBorders>
            <w:shd w:val="clear" w:color="auto" w:fill="auto"/>
            <w:vAlign w:val="center"/>
            <w:hideMark/>
          </w:tcPr>
          <w:p w14:paraId="11C9BD41"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036E14A0"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3119DF78"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489ED1EA"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0FE7D740"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4C39728A"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52EBEC20"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057826AB" w14:textId="77777777" w:rsidTr="003777F2">
        <w:trPr>
          <w:trHeight w:val="300"/>
        </w:trPr>
        <w:tc>
          <w:tcPr>
            <w:tcW w:w="3803" w:type="dxa"/>
            <w:vMerge w:val="restart"/>
            <w:tcBorders>
              <w:top w:val="nil"/>
              <w:left w:val="single" w:sz="8" w:space="0" w:color="auto"/>
              <w:bottom w:val="single" w:sz="8" w:space="0" w:color="000000"/>
              <w:right w:val="single" w:sz="8" w:space="0" w:color="auto"/>
            </w:tcBorders>
            <w:shd w:val="clear" w:color="auto" w:fill="auto"/>
            <w:vAlign w:val="center"/>
            <w:hideMark/>
          </w:tcPr>
          <w:p w14:paraId="6F0D1AE7"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Ophøre kombineret indsamling af metal, glas og plast</w:t>
            </w:r>
          </w:p>
        </w:tc>
        <w:tc>
          <w:tcPr>
            <w:tcW w:w="956" w:type="dxa"/>
            <w:vMerge w:val="restart"/>
            <w:tcBorders>
              <w:top w:val="nil"/>
              <w:left w:val="single" w:sz="8" w:space="0" w:color="auto"/>
              <w:bottom w:val="single" w:sz="8" w:space="0" w:color="000000"/>
              <w:right w:val="single" w:sz="8" w:space="0" w:color="auto"/>
            </w:tcBorders>
            <w:shd w:val="clear" w:color="auto" w:fill="auto"/>
            <w:vAlign w:val="center"/>
            <w:hideMark/>
          </w:tcPr>
          <w:p w14:paraId="64CE0DA5"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4FEE6B5A"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08993191"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780F414B"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7C48CE3B"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101CB488"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38468C10"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5DD2671A" w14:textId="77777777" w:rsidTr="003777F2">
        <w:trPr>
          <w:trHeight w:val="315"/>
        </w:trPr>
        <w:tc>
          <w:tcPr>
            <w:tcW w:w="3803" w:type="dxa"/>
            <w:vMerge/>
            <w:tcBorders>
              <w:top w:val="nil"/>
              <w:left w:val="single" w:sz="8" w:space="0" w:color="auto"/>
              <w:bottom w:val="single" w:sz="8" w:space="0" w:color="000000"/>
              <w:right w:val="single" w:sz="8" w:space="0" w:color="auto"/>
            </w:tcBorders>
            <w:vAlign w:val="center"/>
            <w:hideMark/>
          </w:tcPr>
          <w:p w14:paraId="6D703454"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6" w:type="dxa"/>
            <w:vMerge/>
            <w:tcBorders>
              <w:top w:val="nil"/>
              <w:left w:val="single" w:sz="8" w:space="0" w:color="auto"/>
              <w:bottom w:val="single" w:sz="8" w:space="0" w:color="000000"/>
              <w:right w:val="single" w:sz="8" w:space="0" w:color="auto"/>
            </w:tcBorders>
            <w:vAlign w:val="center"/>
            <w:hideMark/>
          </w:tcPr>
          <w:p w14:paraId="04945BED"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4A974BAB"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293EBE48"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67169DDB"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69B2C242"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09D346CE"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36" w:type="dxa"/>
            <w:tcBorders>
              <w:top w:val="nil"/>
              <w:left w:val="nil"/>
              <w:bottom w:val="nil"/>
              <w:right w:val="nil"/>
            </w:tcBorders>
            <w:shd w:val="clear" w:color="auto" w:fill="auto"/>
            <w:noWrap/>
            <w:vAlign w:val="bottom"/>
            <w:hideMark/>
          </w:tcPr>
          <w:p w14:paraId="095004BC"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p>
        </w:tc>
      </w:tr>
      <w:tr w:rsidR="003777F2" w:rsidRPr="003777F2" w14:paraId="23D662DC" w14:textId="77777777" w:rsidTr="003777F2">
        <w:trPr>
          <w:trHeight w:val="315"/>
        </w:trPr>
        <w:tc>
          <w:tcPr>
            <w:tcW w:w="9544"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6BCA433C" w14:textId="77777777" w:rsidR="003777F2" w:rsidRPr="003777F2" w:rsidRDefault="003777F2" w:rsidP="003777F2">
            <w:pPr>
              <w:suppressAutoHyphens w:val="0"/>
              <w:autoSpaceDN/>
              <w:spacing w:after="0"/>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Plastaffald</w:t>
            </w:r>
          </w:p>
        </w:tc>
        <w:tc>
          <w:tcPr>
            <w:tcW w:w="36" w:type="dxa"/>
            <w:vAlign w:val="center"/>
            <w:hideMark/>
          </w:tcPr>
          <w:p w14:paraId="49823920"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5A1A5E2E" w14:textId="77777777" w:rsidTr="003777F2">
        <w:trPr>
          <w:trHeight w:val="315"/>
        </w:trPr>
        <w:tc>
          <w:tcPr>
            <w:tcW w:w="3803" w:type="dxa"/>
            <w:tcBorders>
              <w:top w:val="nil"/>
              <w:left w:val="single" w:sz="8" w:space="0" w:color="auto"/>
              <w:bottom w:val="single" w:sz="8" w:space="0" w:color="auto"/>
              <w:right w:val="single" w:sz="8" w:space="0" w:color="auto"/>
            </w:tcBorders>
            <w:shd w:val="clear" w:color="auto" w:fill="auto"/>
            <w:vAlign w:val="center"/>
            <w:hideMark/>
          </w:tcPr>
          <w:p w14:paraId="729B4A6A"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Information om ordning og sortering</w:t>
            </w:r>
          </w:p>
        </w:tc>
        <w:tc>
          <w:tcPr>
            <w:tcW w:w="956" w:type="dxa"/>
            <w:tcBorders>
              <w:top w:val="nil"/>
              <w:left w:val="nil"/>
              <w:bottom w:val="single" w:sz="8" w:space="0" w:color="auto"/>
              <w:right w:val="single" w:sz="8" w:space="0" w:color="auto"/>
            </w:tcBorders>
            <w:shd w:val="clear" w:color="auto" w:fill="auto"/>
            <w:vAlign w:val="center"/>
            <w:hideMark/>
          </w:tcPr>
          <w:p w14:paraId="4A82C310"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15820EB6"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397B240D"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4422C896"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0575EF5F"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186CD0ED"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2197DD88"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16A7F7D3" w14:textId="77777777" w:rsidTr="003777F2">
        <w:trPr>
          <w:trHeight w:val="300"/>
        </w:trPr>
        <w:tc>
          <w:tcPr>
            <w:tcW w:w="3803" w:type="dxa"/>
            <w:vMerge w:val="restart"/>
            <w:tcBorders>
              <w:top w:val="nil"/>
              <w:left w:val="single" w:sz="8" w:space="0" w:color="auto"/>
              <w:bottom w:val="single" w:sz="8" w:space="0" w:color="000000"/>
              <w:right w:val="single" w:sz="8" w:space="0" w:color="auto"/>
            </w:tcBorders>
            <w:shd w:val="clear" w:color="auto" w:fill="auto"/>
            <w:vAlign w:val="center"/>
            <w:hideMark/>
          </w:tcPr>
          <w:p w14:paraId="409BF842"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Ophøre kombineret indsamling af metal, glas og plast</w:t>
            </w:r>
          </w:p>
        </w:tc>
        <w:tc>
          <w:tcPr>
            <w:tcW w:w="956" w:type="dxa"/>
            <w:vMerge w:val="restart"/>
            <w:tcBorders>
              <w:top w:val="nil"/>
              <w:left w:val="single" w:sz="8" w:space="0" w:color="auto"/>
              <w:bottom w:val="single" w:sz="8" w:space="0" w:color="000000"/>
              <w:right w:val="single" w:sz="8" w:space="0" w:color="auto"/>
            </w:tcBorders>
            <w:shd w:val="clear" w:color="auto" w:fill="auto"/>
            <w:vAlign w:val="center"/>
            <w:hideMark/>
          </w:tcPr>
          <w:p w14:paraId="3A8FC4E2"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3880E1D3"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43643FAF"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77EBE2DB"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2F6AD3EF"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305152B7"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3ADEF69F"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0E2368BC" w14:textId="77777777" w:rsidTr="003777F2">
        <w:trPr>
          <w:trHeight w:val="315"/>
        </w:trPr>
        <w:tc>
          <w:tcPr>
            <w:tcW w:w="3803" w:type="dxa"/>
            <w:vMerge/>
            <w:tcBorders>
              <w:top w:val="nil"/>
              <w:left w:val="single" w:sz="8" w:space="0" w:color="auto"/>
              <w:bottom w:val="single" w:sz="8" w:space="0" w:color="000000"/>
              <w:right w:val="single" w:sz="8" w:space="0" w:color="auto"/>
            </w:tcBorders>
            <w:vAlign w:val="center"/>
            <w:hideMark/>
          </w:tcPr>
          <w:p w14:paraId="44DB06C2"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6" w:type="dxa"/>
            <w:vMerge/>
            <w:tcBorders>
              <w:top w:val="nil"/>
              <w:left w:val="single" w:sz="8" w:space="0" w:color="auto"/>
              <w:bottom w:val="single" w:sz="8" w:space="0" w:color="000000"/>
              <w:right w:val="single" w:sz="8" w:space="0" w:color="auto"/>
            </w:tcBorders>
            <w:vAlign w:val="center"/>
            <w:hideMark/>
          </w:tcPr>
          <w:p w14:paraId="219F27A8"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71C11013"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1692A403"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12AACB5A"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3D480161"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0E69BD3C"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36" w:type="dxa"/>
            <w:tcBorders>
              <w:top w:val="nil"/>
              <w:left w:val="nil"/>
              <w:bottom w:val="nil"/>
              <w:right w:val="nil"/>
            </w:tcBorders>
            <w:shd w:val="clear" w:color="auto" w:fill="auto"/>
            <w:noWrap/>
            <w:vAlign w:val="bottom"/>
            <w:hideMark/>
          </w:tcPr>
          <w:p w14:paraId="098D55DB"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p>
        </w:tc>
      </w:tr>
      <w:tr w:rsidR="003777F2" w:rsidRPr="003777F2" w14:paraId="0D69509F" w14:textId="77777777" w:rsidTr="003777F2">
        <w:trPr>
          <w:trHeight w:val="315"/>
        </w:trPr>
        <w:tc>
          <w:tcPr>
            <w:tcW w:w="3803" w:type="dxa"/>
            <w:tcBorders>
              <w:top w:val="nil"/>
              <w:left w:val="single" w:sz="8" w:space="0" w:color="auto"/>
              <w:bottom w:val="single" w:sz="8" w:space="0" w:color="auto"/>
              <w:right w:val="single" w:sz="8" w:space="0" w:color="auto"/>
            </w:tcBorders>
            <w:shd w:val="clear" w:color="auto" w:fill="auto"/>
            <w:vAlign w:val="center"/>
            <w:hideMark/>
          </w:tcPr>
          <w:p w14:paraId="7F75B448"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Indføre henteordning for blød plast</w:t>
            </w:r>
          </w:p>
        </w:tc>
        <w:tc>
          <w:tcPr>
            <w:tcW w:w="956" w:type="dxa"/>
            <w:tcBorders>
              <w:top w:val="nil"/>
              <w:left w:val="nil"/>
              <w:bottom w:val="single" w:sz="8" w:space="0" w:color="auto"/>
              <w:right w:val="single" w:sz="8" w:space="0" w:color="auto"/>
            </w:tcBorders>
            <w:shd w:val="clear" w:color="auto" w:fill="auto"/>
            <w:vAlign w:val="center"/>
            <w:hideMark/>
          </w:tcPr>
          <w:p w14:paraId="61923301"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40BB8927"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75896432"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32D5D9DC"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5113A4F6"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79AC5B9D"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6443859A"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0EE60DCA" w14:textId="77777777" w:rsidTr="003777F2">
        <w:trPr>
          <w:trHeight w:val="315"/>
        </w:trPr>
        <w:tc>
          <w:tcPr>
            <w:tcW w:w="9544"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1C4697EA" w14:textId="77777777" w:rsidR="003777F2" w:rsidRPr="003777F2" w:rsidRDefault="003777F2" w:rsidP="003777F2">
            <w:pPr>
              <w:suppressAutoHyphens w:val="0"/>
              <w:autoSpaceDN/>
              <w:spacing w:after="0"/>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Papiraffald</w:t>
            </w:r>
          </w:p>
        </w:tc>
        <w:tc>
          <w:tcPr>
            <w:tcW w:w="36" w:type="dxa"/>
            <w:vAlign w:val="center"/>
            <w:hideMark/>
          </w:tcPr>
          <w:p w14:paraId="5B3EAFAB"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23A88206" w14:textId="77777777" w:rsidTr="003777F2">
        <w:trPr>
          <w:trHeight w:val="315"/>
        </w:trPr>
        <w:tc>
          <w:tcPr>
            <w:tcW w:w="3803" w:type="dxa"/>
            <w:tcBorders>
              <w:top w:val="nil"/>
              <w:left w:val="single" w:sz="8" w:space="0" w:color="auto"/>
              <w:bottom w:val="single" w:sz="8" w:space="0" w:color="auto"/>
              <w:right w:val="single" w:sz="8" w:space="0" w:color="auto"/>
            </w:tcBorders>
            <w:shd w:val="clear" w:color="auto" w:fill="auto"/>
            <w:vAlign w:val="center"/>
            <w:hideMark/>
          </w:tcPr>
          <w:p w14:paraId="2AABA99E"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Information om ordning og sortering</w:t>
            </w:r>
          </w:p>
        </w:tc>
        <w:tc>
          <w:tcPr>
            <w:tcW w:w="956" w:type="dxa"/>
            <w:tcBorders>
              <w:top w:val="nil"/>
              <w:left w:val="nil"/>
              <w:bottom w:val="single" w:sz="8" w:space="0" w:color="auto"/>
              <w:right w:val="single" w:sz="8" w:space="0" w:color="auto"/>
            </w:tcBorders>
            <w:shd w:val="clear" w:color="auto" w:fill="auto"/>
            <w:vAlign w:val="center"/>
            <w:hideMark/>
          </w:tcPr>
          <w:p w14:paraId="1696E4D3"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35D51EA3"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4C051E98"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7B737CB7"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18846DF9"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2B7B95BE"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3F2C5AE9"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1924AB40" w14:textId="77777777" w:rsidTr="003777F2">
        <w:trPr>
          <w:trHeight w:val="315"/>
        </w:trPr>
        <w:tc>
          <w:tcPr>
            <w:tcW w:w="9544"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1290F0CE" w14:textId="77777777" w:rsidR="003777F2" w:rsidRPr="003777F2" w:rsidRDefault="003777F2" w:rsidP="003777F2">
            <w:pPr>
              <w:suppressAutoHyphens w:val="0"/>
              <w:autoSpaceDN/>
              <w:spacing w:after="0"/>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Papaffald</w:t>
            </w:r>
          </w:p>
        </w:tc>
        <w:tc>
          <w:tcPr>
            <w:tcW w:w="36" w:type="dxa"/>
            <w:vAlign w:val="center"/>
            <w:hideMark/>
          </w:tcPr>
          <w:p w14:paraId="5D72D365"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25A3E1CA" w14:textId="77777777" w:rsidTr="003777F2">
        <w:trPr>
          <w:trHeight w:val="315"/>
        </w:trPr>
        <w:tc>
          <w:tcPr>
            <w:tcW w:w="3803" w:type="dxa"/>
            <w:tcBorders>
              <w:top w:val="nil"/>
              <w:left w:val="single" w:sz="8" w:space="0" w:color="auto"/>
              <w:bottom w:val="single" w:sz="8" w:space="0" w:color="auto"/>
              <w:right w:val="single" w:sz="8" w:space="0" w:color="auto"/>
            </w:tcBorders>
            <w:shd w:val="clear" w:color="auto" w:fill="auto"/>
            <w:vAlign w:val="center"/>
            <w:hideMark/>
          </w:tcPr>
          <w:p w14:paraId="2ECA7CC2"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Information om ordning og sortering</w:t>
            </w:r>
          </w:p>
        </w:tc>
        <w:tc>
          <w:tcPr>
            <w:tcW w:w="956" w:type="dxa"/>
            <w:tcBorders>
              <w:top w:val="nil"/>
              <w:left w:val="nil"/>
              <w:bottom w:val="single" w:sz="8" w:space="0" w:color="auto"/>
              <w:right w:val="single" w:sz="8" w:space="0" w:color="auto"/>
            </w:tcBorders>
            <w:shd w:val="clear" w:color="auto" w:fill="auto"/>
            <w:vAlign w:val="center"/>
            <w:hideMark/>
          </w:tcPr>
          <w:p w14:paraId="2920F565"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7072F224"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04C02FBD"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5BF4256C"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404C902D"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5443F66C"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4E517289"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7B42D1AA" w14:textId="77777777" w:rsidTr="003777F2">
        <w:trPr>
          <w:trHeight w:val="315"/>
        </w:trPr>
        <w:tc>
          <w:tcPr>
            <w:tcW w:w="9544"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1B19CB11" w14:textId="77777777" w:rsidR="003777F2" w:rsidRPr="003777F2" w:rsidRDefault="003777F2" w:rsidP="003777F2">
            <w:pPr>
              <w:suppressAutoHyphens w:val="0"/>
              <w:autoSpaceDN/>
              <w:spacing w:after="0"/>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Mad- og drikkekartonaffald</w:t>
            </w:r>
          </w:p>
        </w:tc>
        <w:tc>
          <w:tcPr>
            <w:tcW w:w="36" w:type="dxa"/>
            <w:vAlign w:val="center"/>
            <w:hideMark/>
          </w:tcPr>
          <w:p w14:paraId="479005FF"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4650C199" w14:textId="77777777" w:rsidTr="003777F2">
        <w:trPr>
          <w:trHeight w:val="300"/>
        </w:trPr>
        <w:tc>
          <w:tcPr>
            <w:tcW w:w="3803" w:type="dxa"/>
            <w:vMerge w:val="restart"/>
            <w:tcBorders>
              <w:top w:val="nil"/>
              <w:left w:val="single" w:sz="8" w:space="0" w:color="auto"/>
              <w:bottom w:val="single" w:sz="8" w:space="0" w:color="000000"/>
              <w:right w:val="single" w:sz="8" w:space="0" w:color="auto"/>
            </w:tcBorders>
            <w:shd w:val="clear" w:color="auto" w:fill="auto"/>
            <w:vAlign w:val="center"/>
            <w:hideMark/>
          </w:tcPr>
          <w:p w14:paraId="4D725248"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Indføre henteordning for mad- og drikkekartoner</w:t>
            </w:r>
          </w:p>
        </w:tc>
        <w:tc>
          <w:tcPr>
            <w:tcW w:w="956" w:type="dxa"/>
            <w:vMerge w:val="restart"/>
            <w:tcBorders>
              <w:top w:val="nil"/>
              <w:left w:val="single" w:sz="8" w:space="0" w:color="auto"/>
              <w:bottom w:val="single" w:sz="8" w:space="0" w:color="000000"/>
              <w:right w:val="single" w:sz="8" w:space="0" w:color="auto"/>
            </w:tcBorders>
            <w:shd w:val="clear" w:color="auto" w:fill="auto"/>
            <w:vAlign w:val="center"/>
            <w:hideMark/>
          </w:tcPr>
          <w:p w14:paraId="35CB60CF"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564DB812"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7E9B6054"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29CB75E5"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7D76A3EF"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4B7C0E8C"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7146DB1C"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3B5DABD1" w14:textId="77777777" w:rsidTr="003777F2">
        <w:trPr>
          <w:trHeight w:val="315"/>
        </w:trPr>
        <w:tc>
          <w:tcPr>
            <w:tcW w:w="3803" w:type="dxa"/>
            <w:vMerge/>
            <w:tcBorders>
              <w:top w:val="nil"/>
              <w:left w:val="single" w:sz="8" w:space="0" w:color="auto"/>
              <w:bottom w:val="single" w:sz="8" w:space="0" w:color="000000"/>
              <w:right w:val="single" w:sz="8" w:space="0" w:color="auto"/>
            </w:tcBorders>
            <w:vAlign w:val="center"/>
            <w:hideMark/>
          </w:tcPr>
          <w:p w14:paraId="231FF150"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6" w:type="dxa"/>
            <w:vMerge/>
            <w:tcBorders>
              <w:top w:val="nil"/>
              <w:left w:val="single" w:sz="8" w:space="0" w:color="auto"/>
              <w:bottom w:val="single" w:sz="8" w:space="0" w:color="000000"/>
              <w:right w:val="single" w:sz="8" w:space="0" w:color="auto"/>
            </w:tcBorders>
            <w:vAlign w:val="center"/>
            <w:hideMark/>
          </w:tcPr>
          <w:p w14:paraId="1B793EAA"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1565C6DE"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7C8AF495"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79D5F255"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1FBEB0F9"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7198114D"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36" w:type="dxa"/>
            <w:tcBorders>
              <w:top w:val="nil"/>
              <w:left w:val="nil"/>
              <w:bottom w:val="nil"/>
              <w:right w:val="nil"/>
            </w:tcBorders>
            <w:shd w:val="clear" w:color="auto" w:fill="auto"/>
            <w:noWrap/>
            <w:vAlign w:val="bottom"/>
            <w:hideMark/>
          </w:tcPr>
          <w:p w14:paraId="71DCB6CC"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p>
        </w:tc>
      </w:tr>
      <w:tr w:rsidR="003777F2" w:rsidRPr="003777F2" w14:paraId="1F22354B" w14:textId="77777777" w:rsidTr="003777F2">
        <w:trPr>
          <w:trHeight w:val="315"/>
        </w:trPr>
        <w:tc>
          <w:tcPr>
            <w:tcW w:w="3803" w:type="dxa"/>
            <w:tcBorders>
              <w:top w:val="nil"/>
              <w:left w:val="single" w:sz="8" w:space="0" w:color="auto"/>
              <w:bottom w:val="single" w:sz="8" w:space="0" w:color="auto"/>
              <w:right w:val="single" w:sz="8" w:space="0" w:color="auto"/>
            </w:tcBorders>
            <w:shd w:val="clear" w:color="auto" w:fill="auto"/>
            <w:vAlign w:val="center"/>
            <w:hideMark/>
          </w:tcPr>
          <w:p w14:paraId="13954692"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Information om ordning og sortering</w:t>
            </w:r>
          </w:p>
        </w:tc>
        <w:tc>
          <w:tcPr>
            <w:tcW w:w="956" w:type="dxa"/>
            <w:tcBorders>
              <w:top w:val="nil"/>
              <w:left w:val="nil"/>
              <w:bottom w:val="single" w:sz="8" w:space="0" w:color="auto"/>
              <w:right w:val="single" w:sz="8" w:space="0" w:color="auto"/>
            </w:tcBorders>
            <w:shd w:val="clear" w:color="auto" w:fill="auto"/>
            <w:vAlign w:val="center"/>
            <w:hideMark/>
          </w:tcPr>
          <w:p w14:paraId="60C11A1E"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6B13CAE3"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715B4612"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559C180C"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605379C5"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7D736C9B"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501A61AE"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56203458" w14:textId="77777777" w:rsidTr="003777F2">
        <w:trPr>
          <w:trHeight w:val="315"/>
        </w:trPr>
        <w:tc>
          <w:tcPr>
            <w:tcW w:w="9544"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7E6332FE" w14:textId="77777777" w:rsidR="003777F2" w:rsidRPr="003777F2" w:rsidRDefault="003777F2" w:rsidP="003777F2">
            <w:pPr>
              <w:suppressAutoHyphens w:val="0"/>
              <w:autoSpaceDN/>
              <w:spacing w:after="0"/>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Tekstilaffald</w:t>
            </w:r>
          </w:p>
        </w:tc>
        <w:tc>
          <w:tcPr>
            <w:tcW w:w="36" w:type="dxa"/>
            <w:vAlign w:val="center"/>
            <w:hideMark/>
          </w:tcPr>
          <w:p w14:paraId="3EA835AE"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777CE73D" w14:textId="77777777" w:rsidTr="003777F2">
        <w:trPr>
          <w:trHeight w:val="315"/>
        </w:trPr>
        <w:tc>
          <w:tcPr>
            <w:tcW w:w="3803" w:type="dxa"/>
            <w:tcBorders>
              <w:top w:val="nil"/>
              <w:left w:val="single" w:sz="8" w:space="0" w:color="auto"/>
              <w:bottom w:val="single" w:sz="8" w:space="0" w:color="auto"/>
              <w:right w:val="single" w:sz="8" w:space="0" w:color="auto"/>
            </w:tcBorders>
            <w:shd w:val="clear" w:color="auto" w:fill="auto"/>
            <w:vAlign w:val="center"/>
            <w:hideMark/>
          </w:tcPr>
          <w:p w14:paraId="2C84EF88" w14:textId="24BB3FA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Indføre henteordning for tekstilaffald</w:t>
            </w:r>
            <w:r>
              <w:rPr>
                <w:rStyle w:val="Fodnotehenvisning"/>
                <w:rFonts w:ascii="Calibri" w:eastAsia="Times New Roman" w:hAnsi="Calibri" w:cs="Calibri"/>
                <w:color w:val="000000"/>
                <w:lang w:eastAsia="da-DK"/>
              </w:rPr>
              <w:footnoteReference w:id="15"/>
            </w:r>
          </w:p>
        </w:tc>
        <w:tc>
          <w:tcPr>
            <w:tcW w:w="956" w:type="dxa"/>
            <w:tcBorders>
              <w:top w:val="nil"/>
              <w:left w:val="nil"/>
              <w:bottom w:val="single" w:sz="8" w:space="0" w:color="auto"/>
              <w:right w:val="single" w:sz="8" w:space="0" w:color="auto"/>
            </w:tcBorders>
            <w:shd w:val="clear" w:color="auto" w:fill="auto"/>
            <w:vAlign w:val="center"/>
            <w:hideMark/>
          </w:tcPr>
          <w:p w14:paraId="02E60CE7"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4E899AE3" w14:textId="2EC333E2" w:rsidR="003777F2" w:rsidRPr="003777F2" w:rsidRDefault="004E33C0" w:rsidP="003777F2">
            <w:pPr>
              <w:suppressAutoHyphens w:val="0"/>
              <w:autoSpaceDN/>
              <w:spacing w:after="0"/>
              <w:jc w:val="center"/>
              <w:textAlignment w:val="auto"/>
              <w:rPr>
                <w:rFonts w:ascii="Calibri" w:eastAsia="Times New Roman" w:hAnsi="Calibri" w:cs="Calibri"/>
                <w:color w:val="000000"/>
                <w:lang w:eastAsia="da-DK"/>
              </w:rPr>
            </w:pPr>
            <w:r>
              <w:rPr>
                <w:rFonts w:ascii="Calibri" w:eastAsia="Times New Roman" w:hAnsi="Calibri" w:cs="Calibri"/>
                <w:color w:val="000000"/>
                <w:lang w:eastAsia="da-DK"/>
              </w:rPr>
              <w:t>(</w:t>
            </w:r>
            <w:r w:rsidR="003777F2" w:rsidRPr="003777F2">
              <w:rPr>
                <w:rFonts w:ascii="Calibri" w:eastAsia="Times New Roman" w:hAnsi="Calibri" w:cs="Calibri"/>
                <w:color w:val="000000"/>
                <w:lang w:eastAsia="da-DK"/>
              </w:rPr>
              <w:t>X</w:t>
            </w:r>
            <w:r>
              <w:rPr>
                <w:rFonts w:ascii="Calibri" w:eastAsia="Times New Roman" w:hAnsi="Calibri" w:cs="Calibri"/>
                <w:color w:val="000000"/>
                <w:lang w:eastAsia="da-DK"/>
              </w:rPr>
              <w:t>)</w:t>
            </w:r>
          </w:p>
        </w:tc>
        <w:tc>
          <w:tcPr>
            <w:tcW w:w="957" w:type="dxa"/>
            <w:tcBorders>
              <w:top w:val="nil"/>
              <w:left w:val="nil"/>
              <w:bottom w:val="single" w:sz="8" w:space="0" w:color="auto"/>
              <w:right w:val="single" w:sz="8" w:space="0" w:color="auto"/>
            </w:tcBorders>
            <w:shd w:val="clear" w:color="auto" w:fill="auto"/>
            <w:vAlign w:val="center"/>
            <w:hideMark/>
          </w:tcPr>
          <w:p w14:paraId="1007CD50"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165C2E30"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69649CC9"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53DFB172"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47A747DE"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781B9872" w14:textId="77777777" w:rsidTr="003777F2">
        <w:trPr>
          <w:trHeight w:val="315"/>
        </w:trPr>
        <w:tc>
          <w:tcPr>
            <w:tcW w:w="3803" w:type="dxa"/>
            <w:tcBorders>
              <w:top w:val="nil"/>
              <w:left w:val="single" w:sz="8" w:space="0" w:color="auto"/>
              <w:bottom w:val="single" w:sz="8" w:space="0" w:color="auto"/>
              <w:right w:val="single" w:sz="8" w:space="0" w:color="auto"/>
            </w:tcBorders>
            <w:shd w:val="clear" w:color="auto" w:fill="auto"/>
            <w:vAlign w:val="center"/>
            <w:hideMark/>
          </w:tcPr>
          <w:p w14:paraId="0DBFF5F7"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Information om ordning og sortering</w:t>
            </w:r>
          </w:p>
        </w:tc>
        <w:tc>
          <w:tcPr>
            <w:tcW w:w="956" w:type="dxa"/>
            <w:tcBorders>
              <w:top w:val="nil"/>
              <w:left w:val="nil"/>
              <w:bottom w:val="single" w:sz="8" w:space="0" w:color="auto"/>
              <w:right w:val="single" w:sz="8" w:space="0" w:color="auto"/>
            </w:tcBorders>
            <w:shd w:val="clear" w:color="auto" w:fill="auto"/>
            <w:vAlign w:val="center"/>
            <w:hideMark/>
          </w:tcPr>
          <w:p w14:paraId="184BC04D"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2D1D0CF6"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4E86FBAE"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2B721289"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523DE0D1"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2AE6A3F8"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6D2D261A"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7FB0941B" w14:textId="77777777" w:rsidTr="003777F2">
        <w:trPr>
          <w:trHeight w:val="315"/>
        </w:trPr>
        <w:tc>
          <w:tcPr>
            <w:tcW w:w="9544"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55B447EC" w14:textId="77777777" w:rsidR="003777F2" w:rsidRPr="003777F2" w:rsidRDefault="003777F2" w:rsidP="003777F2">
            <w:pPr>
              <w:suppressAutoHyphens w:val="0"/>
              <w:autoSpaceDN/>
              <w:spacing w:after="0"/>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lastRenderedPageBreak/>
              <w:t>Farligt affald</w:t>
            </w:r>
          </w:p>
        </w:tc>
        <w:tc>
          <w:tcPr>
            <w:tcW w:w="36" w:type="dxa"/>
            <w:vAlign w:val="center"/>
            <w:hideMark/>
          </w:tcPr>
          <w:p w14:paraId="003801FA"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31276292" w14:textId="77777777" w:rsidTr="003777F2">
        <w:trPr>
          <w:trHeight w:val="315"/>
        </w:trPr>
        <w:tc>
          <w:tcPr>
            <w:tcW w:w="3803" w:type="dxa"/>
            <w:tcBorders>
              <w:top w:val="nil"/>
              <w:left w:val="single" w:sz="8" w:space="0" w:color="auto"/>
              <w:bottom w:val="single" w:sz="8" w:space="0" w:color="auto"/>
              <w:right w:val="single" w:sz="8" w:space="0" w:color="auto"/>
            </w:tcBorders>
            <w:shd w:val="clear" w:color="auto" w:fill="auto"/>
            <w:vAlign w:val="center"/>
            <w:hideMark/>
          </w:tcPr>
          <w:p w14:paraId="342ECA2B"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Indføre henteordning for farligt affald</w:t>
            </w:r>
          </w:p>
        </w:tc>
        <w:tc>
          <w:tcPr>
            <w:tcW w:w="956" w:type="dxa"/>
            <w:tcBorders>
              <w:top w:val="nil"/>
              <w:left w:val="nil"/>
              <w:bottom w:val="single" w:sz="8" w:space="0" w:color="auto"/>
              <w:right w:val="single" w:sz="8" w:space="0" w:color="auto"/>
            </w:tcBorders>
            <w:shd w:val="clear" w:color="auto" w:fill="auto"/>
            <w:vAlign w:val="center"/>
            <w:hideMark/>
          </w:tcPr>
          <w:p w14:paraId="020EAD50"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081B99CD"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25E808BF"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51A4457E"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260AD39F"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086538A8"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2E3B39DB"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465D2044" w14:textId="77777777" w:rsidTr="003777F2">
        <w:trPr>
          <w:trHeight w:val="615"/>
        </w:trPr>
        <w:tc>
          <w:tcPr>
            <w:tcW w:w="3803" w:type="dxa"/>
            <w:tcBorders>
              <w:top w:val="nil"/>
              <w:left w:val="single" w:sz="8" w:space="0" w:color="auto"/>
              <w:bottom w:val="single" w:sz="8" w:space="0" w:color="auto"/>
              <w:right w:val="single" w:sz="8" w:space="0" w:color="auto"/>
            </w:tcBorders>
            <w:shd w:val="clear" w:color="auto" w:fill="auto"/>
            <w:vAlign w:val="center"/>
            <w:hideMark/>
          </w:tcPr>
          <w:p w14:paraId="4EFD56FA" w14:textId="04F15FC8"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xml:space="preserve">Evt. </w:t>
            </w:r>
            <w:r w:rsidR="00CE582F" w:rsidRPr="003777F2">
              <w:rPr>
                <w:rFonts w:ascii="Calibri" w:eastAsia="Times New Roman" w:hAnsi="Calibri" w:cs="Calibri"/>
                <w:color w:val="000000"/>
                <w:lang w:eastAsia="da-DK"/>
              </w:rPr>
              <w:t>indføre</w:t>
            </w:r>
            <w:r w:rsidRPr="003777F2">
              <w:rPr>
                <w:rFonts w:ascii="Calibri" w:eastAsia="Times New Roman" w:hAnsi="Calibri" w:cs="Calibri"/>
                <w:color w:val="000000"/>
                <w:lang w:eastAsia="da-DK"/>
              </w:rPr>
              <w:t xml:space="preserve"> dele af henteordningen for farligt affald</w:t>
            </w:r>
            <w:r>
              <w:rPr>
                <w:rStyle w:val="Fodnotehenvisning"/>
                <w:rFonts w:ascii="Calibri" w:eastAsia="Times New Roman" w:hAnsi="Calibri" w:cs="Calibri"/>
                <w:color w:val="000000"/>
                <w:lang w:eastAsia="da-DK"/>
              </w:rPr>
              <w:footnoteReference w:id="16"/>
            </w:r>
          </w:p>
        </w:tc>
        <w:tc>
          <w:tcPr>
            <w:tcW w:w="956" w:type="dxa"/>
            <w:tcBorders>
              <w:top w:val="nil"/>
              <w:left w:val="nil"/>
              <w:bottom w:val="single" w:sz="8" w:space="0" w:color="auto"/>
              <w:right w:val="single" w:sz="8" w:space="0" w:color="auto"/>
            </w:tcBorders>
            <w:shd w:val="clear" w:color="auto" w:fill="auto"/>
            <w:vAlign w:val="center"/>
            <w:hideMark/>
          </w:tcPr>
          <w:p w14:paraId="67FE89C9"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2AF8E379"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293B71AD"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6884AFB8"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455616B0"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12B1268C"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31207CB6"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686DB97F" w14:textId="77777777" w:rsidTr="003777F2">
        <w:trPr>
          <w:trHeight w:val="315"/>
        </w:trPr>
        <w:tc>
          <w:tcPr>
            <w:tcW w:w="3803" w:type="dxa"/>
            <w:tcBorders>
              <w:top w:val="nil"/>
              <w:left w:val="single" w:sz="8" w:space="0" w:color="auto"/>
              <w:bottom w:val="single" w:sz="8" w:space="0" w:color="auto"/>
              <w:right w:val="single" w:sz="8" w:space="0" w:color="auto"/>
            </w:tcBorders>
            <w:shd w:val="clear" w:color="auto" w:fill="auto"/>
            <w:vAlign w:val="center"/>
            <w:hideMark/>
          </w:tcPr>
          <w:p w14:paraId="7DABBBD9"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Information om ordning og sortering</w:t>
            </w:r>
          </w:p>
        </w:tc>
        <w:tc>
          <w:tcPr>
            <w:tcW w:w="956" w:type="dxa"/>
            <w:tcBorders>
              <w:top w:val="nil"/>
              <w:left w:val="nil"/>
              <w:bottom w:val="single" w:sz="8" w:space="0" w:color="auto"/>
              <w:right w:val="single" w:sz="8" w:space="0" w:color="auto"/>
            </w:tcBorders>
            <w:shd w:val="clear" w:color="auto" w:fill="auto"/>
            <w:vAlign w:val="center"/>
            <w:hideMark/>
          </w:tcPr>
          <w:p w14:paraId="40526A4B"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34C49FD4"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76346706"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5361374E"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53939B5A"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60BBBABD"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1CF7C5D8"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0DCEC75D" w14:textId="77777777" w:rsidTr="003777F2">
        <w:trPr>
          <w:trHeight w:val="315"/>
        </w:trPr>
        <w:tc>
          <w:tcPr>
            <w:tcW w:w="9544"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547228A8" w14:textId="77777777" w:rsidR="003777F2" w:rsidRPr="003777F2" w:rsidRDefault="003777F2" w:rsidP="003777F2">
            <w:pPr>
              <w:suppressAutoHyphens w:val="0"/>
              <w:autoSpaceDN/>
              <w:spacing w:after="0"/>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Storskrald</w:t>
            </w:r>
          </w:p>
        </w:tc>
        <w:tc>
          <w:tcPr>
            <w:tcW w:w="36" w:type="dxa"/>
            <w:vAlign w:val="center"/>
            <w:hideMark/>
          </w:tcPr>
          <w:p w14:paraId="3A8EA7F9"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3C530A5C" w14:textId="77777777" w:rsidTr="003777F2">
        <w:trPr>
          <w:trHeight w:val="315"/>
        </w:trPr>
        <w:tc>
          <w:tcPr>
            <w:tcW w:w="3803" w:type="dxa"/>
            <w:tcBorders>
              <w:top w:val="nil"/>
              <w:left w:val="single" w:sz="8" w:space="0" w:color="auto"/>
              <w:bottom w:val="single" w:sz="8" w:space="0" w:color="auto"/>
              <w:right w:val="single" w:sz="8" w:space="0" w:color="auto"/>
            </w:tcBorders>
            <w:shd w:val="clear" w:color="auto" w:fill="auto"/>
            <w:vAlign w:val="center"/>
            <w:hideMark/>
          </w:tcPr>
          <w:p w14:paraId="50C2EE56"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Information om ordning og sortering</w:t>
            </w:r>
          </w:p>
        </w:tc>
        <w:tc>
          <w:tcPr>
            <w:tcW w:w="956" w:type="dxa"/>
            <w:tcBorders>
              <w:top w:val="nil"/>
              <w:left w:val="nil"/>
              <w:bottom w:val="single" w:sz="8" w:space="0" w:color="auto"/>
              <w:right w:val="single" w:sz="8" w:space="0" w:color="auto"/>
            </w:tcBorders>
            <w:shd w:val="clear" w:color="auto" w:fill="auto"/>
            <w:vAlign w:val="center"/>
            <w:hideMark/>
          </w:tcPr>
          <w:p w14:paraId="613E31E1"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2A0C805F"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3CA58B1D"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35D69FC4"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single" w:sz="8" w:space="0" w:color="auto"/>
              <w:right w:val="single" w:sz="8" w:space="0" w:color="auto"/>
            </w:tcBorders>
            <w:shd w:val="clear" w:color="auto" w:fill="auto"/>
            <w:vAlign w:val="center"/>
            <w:hideMark/>
          </w:tcPr>
          <w:p w14:paraId="05BBFFF1"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tcBorders>
              <w:top w:val="nil"/>
              <w:left w:val="nil"/>
              <w:bottom w:val="single" w:sz="8" w:space="0" w:color="auto"/>
              <w:right w:val="single" w:sz="8" w:space="0" w:color="auto"/>
            </w:tcBorders>
            <w:shd w:val="clear" w:color="auto" w:fill="auto"/>
            <w:vAlign w:val="center"/>
            <w:hideMark/>
          </w:tcPr>
          <w:p w14:paraId="18567CF2"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490412D3"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2DE59D5A" w14:textId="77777777" w:rsidTr="003777F2">
        <w:trPr>
          <w:trHeight w:val="390"/>
        </w:trPr>
        <w:tc>
          <w:tcPr>
            <w:tcW w:w="9544" w:type="dxa"/>
            <w:gridSpan w:val="7"/>
            <w:tcBorders>
              <w:top w:val="single" w:sz="8" w:space="0" w:color="auto"/>
              <w:left w:val="single" w:sz="8" w:space="0" w:color="auto"/>
              <w:bottom w:val="single" w:sz="8" w:space="0" w:color="auto"/>
              <w:right w:val="single" w:sz="8" w:space="0" w:color="000000"/>
            </w:tcBorders>
            <w:shd w:val="clear" w:color="000000" w:fill="9BC2E6"/>
            <w:vAlign w:val="center"/>
            <w:hideMark/>
          </w:tcPr>
          <w:p w14:paraId="58C13FDD" w14:textId="77777777" w:rsidR="003777F2" w:rsidRPr="003777F2" w:rsidRDefault="003777F2" w:rsidP="003777F2">
            <w:pPr>
              <w:suppressAutoHyphens w:val="0"/>
              <w:autoSpaceDN/>
              <w:spacing w:after="0"/>
              <w:textAlignment w:val="auto"/>
              <w:rPr>
                <w:rFonts w:ascii="Calibri" w:eastAsia="Times New Roman" w:hAnsi="Calibri" w:cs="Calibri"/>
                <w:b/>
                <w:bCs/>
                <w:color w:val="000000"/>
                <w:sz w:val="28"/>
                <w:szCs w:val="28"/>
                <w:lang w:eastAsia="da-DK"/>
              </w:rPr>
            </w:pPr>
            <w:r w:rsidRPr="003777F2">
              <w:rPr>
                <w:rFonts w:ascii="Calibri" w:eastAsia="Times New Roman" w:hAnsi="Calibri" w:cs="Calibri"/>
                <w:b/>
                <w:bCs/>
                <w:color w:val="000000"/>
                <w:sz w:val="28"/>
                <w:szCs w:val="28"/>
                <w:lang w:eastAsia="da-DK"/>
              </w:rPr>
              <w:t>Erhverv</w:t>
            </w:r>
          </w:p>
        </w:tc>
        <w:tc>
          <w:tcPr>
            <w:tcW w:w="36" w:type="dxa"/>
            <w:vAlign w:val="center"/>
            <w:hideMark/>
          </w:tcPr>
          <w:p w14:paraId="08BBF654"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537EC031" w14:textId="77777777" w:rsidTr="003777F2">
        <w:trPr>
          <w:trHeight w:val="315"/>
        </w:trPr>
        <w:tc>
          <w:tcPr>
            <w:tcW w:w="3803" w:type="dxa"/>
            <w:tcBorders>
              <w:top w:val="nil"/>
              <w:left w:val="single" w:sz="8" w:space="0" w:color="auto"/>
              <w:bottom w:val="single" w:sz="8" w:space="0" w:color="auto"/>
              <w:right w:val="single" w:sz="8" w:space="0" w:color="auto"/>
            </w:tcBorders>
            <w:shd w:val="clear" w:color="auto" w:fill="auto"/>
            <w:noWrap/>
            <w:vAlign w:val="bottom"/>
            <w:hideMark/>
          </w:tcPr>
          <w:p w14:paraId="5CD25F4F"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6" w:type="dxa"/>
            <w:tcBorders>
              <w:top w:val="nil"/>
              <w:left w:val="nil"/>
              <w:bottom w:val="single" w:sz="8" w:space="0" w:color="auto"/>
              <w:right w:val="single" w:sz="8" w:space="0" w:color="auto"/>
            </w:tcBorders>
            <w:shd w:val="clear" w:color="auto" w:fill="auto"/>
            <w:vAlign w:val="center"/>
            <w:hideMark/>
          </w:tcPr>
          <w:p w14:paraId="0D9F3CD5"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2022</w:t>
            </w:r>
          </w:p>
        </w:tc>
        <w:tc>
          <w:tcPr>
            <w:tcW w:w="957" w:type="dxa"/>
            <w:tcBorders>
              <w:top w:val="nil"/>
              <w:left w:val="nil"/>
              <w:bottom w:val="single" w:sz="8" w:space="0" w:color="auto"/>
              <w:right w:val="single" w:sz="8" w:space="0" w:color="auto"/>
            </w:tcBorders>
            <w:shd w:val="clear" w:color="auto" w:fill="auto"/>
            <w:vAlign w:val="center"/>
            <w:hideMark/>
          </w:tcPr>
          <w:p w14:paraId="30ED76C5"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2023</w:t>
            </w:r>
          </w:p>
        </w:tc>
        <w:tc>
          <w:tcPr>
            <w:tcW w:w="957" w:type="dxa"/>
            <w:tcBorders>
              <w:top w:val="nil"/>
              <w:left w:val="nil"/>
              <w:bottom w:val="single" w:sz="8" w:space="0" w:color="auto"/>
              <w:right w:val="single" w:sz="8" w:space="0" w:color="auto"/>
            </w:tcBorders>
            <w:shd w:val="clear" w:color="auto" w:fill="auto"/>
            <w:vAlign w:val="center"/>
            <w:hideMark/>
          </w:tcPr>
          <w:p w14:paraId="20F230AB"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2024</w:t>
            </w:r>
          </w:p>
        </w:tc>
        <w:tc>
          <w:tcPr>
            <w:tcW w:w="957" w:type="dxa"/>
            <w:tcBorders>
              <w:top w:val="nil"/>
              <w:left w:val="nil"/>
              <w:bottom w:val="single" w:sz="8" w:space="0" w:color="auto"/>
              <w:right w:val="single" w:sz="8" w:space="0" w:color="auto"/>
            </w:tcBorders>
            <w:shd w:val="clear" w:color="auto" w:fill="auto"/>
            <w:vAlign w:val="center"/>
            <w:hideMark/>
          </w:tcPr>
          <w:p w14:paraId="0641E671"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2025</w:t>
            </w:r>
          </w:p>
        </w:tc>
        <w:tc>
          <w:tcPr>
            <w:tcW w:w="957" w:type="dxa"/>
            <w:tcBorders>
              <w:top w:val="nil"/>
              <w:left w:val="nil"/>
              <w:bottom w:val="single" w:sz="8" w:space="0" w:color="auto"/>
              <w:right w:val="single" w:sz="8" w:space="0" w:color="auto"/>
            </w:tcBorders>
            <w:shd w:val="clear" w:color="auto" w:fill="auto"/>
            <w:vAlign w:val="center"/>
            <w:hideMark/>
          </w:tcPr>
          <w:p w14:paraId="29323A1E"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2026</w:t>
            </w:r>
          </w:p>
        </w:tc>
        <w:tc>
          <w:tcPr>
            <w:tcW w:w="957" w:type="dxa"/>
            <w:tcBorders>
              <w:top w:val="nil"/>
              <w:left w:val="nil"/>
              <w:bottom w:val="single" w:sz="8" w:space="0" w:color="auto"/>
              <w:right w:val="single" w:sz="8" w:space="0" w:color="auto"/>
            </w:tcBorders>
            <w:shd w:val="clear" w:color="auto" w:fill="auto"/>
            <w:vAlign w:val="center"/>
            <w:hideMark/>
          </w:tcPr>
          <w:p w14:paraId="06EC6C2A"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2027</w:t>
            </w:r>
          </w:p>
        </w:tc>
        <w:tc>
          <w:tcPr>
            <w:tcW w:w="36" w:type="dxa"/>
            <w:vAlign w:val="center"/>
            <w:hideMark/>
          </w:tcPr>
          <w:p w14:paraId="36FE43E0"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2EC240B2" w14:textId="77777777" w:rsidTr="003777F2">
        <w:trPr>
          <w:trHeight w:val="885"/>
        </w:trPr>
        <w:tc>
          <w:tcPr>
            <w:tcW w:w="3803" w:type="dxa"/>
            <w:tcBorders>
              <w:top w:val="nil"/>
              <w:left w:val="single" w:sz="8" w:space="0" w:color="auto"/>
              <w:bottom w:val="nil"/>
              <w:right w:val="single" w:sz="8" w:space="0" w:color="auto"/>
            </w:tcBorders>
            <w:shd w:val="clear" w:color="auto" w:fill="auto"/>
            <w:vAlign w:val="bottom"/>
            <w:hideMark/>
          </w:tcPr>
          <w:p w14:paraId="409FED25"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Indsamle genanvendeligt affald på kommunens institutioner og virksomheder</w:t>
            </w:r>
          </w:p>
        </w:tc>
        <w:tc>
          <w:tcPr>
            <w:tcW w:w="956" w:type="dxa"/>
            <w:tcBorders>
              <w:top w:val="nil"/>
              <w:left w:val="nil"/>
              <w:bottom w:val="nil"/>
              <w:right w:val="single" w:sz="8" w:space="0" w:color="auto"/>
            </w:tcBorders>
            <w:shd w:val="clear" w:color="auto" w:fill="auto"/>
            <w:vAlign w:val="center"/>
            <w:hideMark/>
          </w:tcPr>
          <w:p w14:paraId="52597A02"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tcBorders>
              <w:top w:val="nil"/>
              <w:left w:val="nil"/>
              <w:bottom w:val="nil"/>
              <w:right w:val="single" w:sz="8" w:space="0" w:color="auto"/>
            </w:tcBorders>
            <w:shd w:val="clear" w:color="auto" w:fill="auto"/>
            <w:vAlign w:val="center"/>
            <w:hideMark/>
          </w:tcPr>
          <w:p w14:paraId="4DAA8933"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 </w:t>
            </w:r>
          </w:p>
        </w:tc>
        <w:tc>
          <w:tcPr>
            <w:tcW w:w="957" w:type="dxa"/>
            <w:tcBorders>
              <w:top w:val="nil"/>
              <w:left w:val="nil"/>
              <w:bottom w:val="nil"/>
              <w:right w:val="single" w:sz="8" w:space="0" w:color="auto"/>
            </w:tcBorders>
            <w:shd w:val="clear" w:color="auto" w:fill="auto"/>
            <w:vAlign w:val="center"/>
            <w:hideMark/>
          </w:tcPr>
          <w:p w14:paraId="225E47A4"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 </w:t>
            </w:r>
          </w:p>
        </w:tc>
        <w:tc>
          <w:tcPr>
            <w:tcW w:w="957" w:type="dxa"/>
            <w:tcBorders>
              <w:top w:val="nil"/>
              <w:left w:val="nil"/>
              <w:bottom w:val="nil"/>
              <w:right w:val="single" w:sz="8" w:space="0" w:color="auto"/>
            </w:tcBorders>
            <w:shd w:val="clear" w:color="auto" w:fill="auto"/>
            <w:vAlign w:val="center"/>
            <w:hideMark/>
          </w:tcPr>
          <w:p w14:paraId="15EF1774"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 </w:t>
            </w:r>
          </w:p>
        </w:tc>
        <w:tc>
          <w:tcPr>
            <w:tcW w:w="957" w:type="dxa"/>
            <w:tcBorders>
              <w:top w:val="nil"/>
              <w:left w:val="nil"/>
              <w:bottom w:val="nil"/>
              <w:right w:val="single" w:sz="8" w:space="0" w:color="auto"/>
            </w:tcBorders>
            <w:shd w:val="clear" w:color="auto" w:fill="auto"/>
            <w:vAlign w:val="center"/>
            <w:hideMark/>
          </w:tcPr>
          <w:p w14:paraId="10636B73"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 </w:t>
            </w:r>
          </w:p>
        </w:tc>
        <w:tc>
          <w:tcPr>
            <w:tcW w:w="957" w:type="dxa"/>
            <w:tcBorders>
              <w:top w:val="nil"/>
              <w:left w:val="nil"/>
              <w:bottom w:val="nil"/>
              <w:right w:val="single" w:sz="8" w:space="0" w:color="auto"/>
            </w:tcBorders>
            <w:shd w:val="clear" w:color="auto" w:fill="auto"/>
            <w:vAlign w:val="center"/>
            <w:hideMark/>
          </w:tcPr>
          <w:p w14:paraId="511DD7FE" w14:textId="77777777" w:rsidR="003777F2" w:rsidRPr="003777F2" w:rsidRDefault="003777F2" w:rsidP="003777F2">
            <w:pPr>
              <w:suppressAutoHyphens w:val="0"/>
              <w:autoSpaceDN/>
              <w:spacing w:after="0"/>
              <w:jc w:val="center"/>
              <w:textAlignment w:val="auto"/>
              <w:rPr>
                <w:rFonts w:ascii="Calibri" w:eastAsia="Times New Roman" w:hAnsi="Calibri" w:cs="Calibri"/>
                <w:b/>
                <w:bCs/>
                <w:color w:val="000000"/>
                <w:lang w:eastAsia="da-DK"/>
              </w:rPr>
            </w:pPr>
            <w:r w:rsidRPr="003777F2">
              <w:rPr>
                <w:rFonts w:ascii="Calibri" w:eastAsia="Times New Roman" w:hAnsi="Calibri" w:cs="Calibri"/>
                <w:b/>
                <w:bCs/>
                <w:color w:val="000000"/>
                <w:lang w:eastAsia="da-DK"/>
              </w:rPr>
              <w:t> </w:t>
            </w:r>
          </w:p>
        </w:tc>
        <w:tc>
          <w:tcPr>
            <w:tcW w:w="36" w:type="dxa"/>
            <w:vAlign w:val="center"/>
            <w:hideMark/>
          </w:tcPr>
          <w:p w14:paraId="00F4147A"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046F80EC" w14:textId="77777777" w:rsidTr="003777F2">
        <w:trPr>
          <w:trHeight w:val="300"/>
        </w:trPr>
        <w:tc>
          <w:tcPr>
            <w:tcW w:w="38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38C53A"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Tilbyde virksomheder i blandet bolig og erhverv at deltage i den kommunale ordning for genanvendeligt affald</w:t>
            </w:r>
          </w:p>
        </w:tc>
        <w:tc>
          <w:tcPr>
            <w:tcW w:w="9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F3423C"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40D947"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DC5EB2"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29ADB4"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F9A077"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8DD969"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7BDA655C"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0B24352F" w14:textId="77777777" w:rsidTr="003777F2">
        <w:trPr>
          <w:trHeight w:val="300"/>
        </w:trPr>
        <w:tc>
          <w:tcPr>
            <w:tcW w:w="3803" w:type="dxa"/>
            <w:vMerge/>
            <w:tcBorders>
              <w:top w:val="single" w:sz="8" w:space="0" w:color="auto"/>
              <w:left w:val="single" w:sz="8" w:space="0" w:color="auto"/>
              <w:bottom w:val="single" w:sz="8" w:space="0" w:color="000000"/>
              <w:right w:val="single" w:sz="8" w:space="0" w:color="auto"/>
            </w:tcBorders>
            <w:vAlign w:val="center"/>
            <w:hideMark/>
          </w:tcPr>
          <w:p w14:paraId="44B19302"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6" w:type="dxa"/>
            <w:vMerge/>
            <w:tcBorders>
              <w:top w:val="single" w:sz="8" w:space="0" w:color="auto"/>
              <w:left w:val="single" w:sz="8" w:space="0" w:color="auto"/>
              <w:bottom w:val="single" w:sz="8" w:space="0" w:color="000000"/>
              <w:right w:val="single" w:sz="8" w:space="0" w:color="auto"/>
            </w:tcBorders>
            <w:vAlign w:val="center"/>
            <w:hideMark/>
          </w:tcPr>
          <w:p w14:paraId="6B61932F"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19585BA7"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6DC0C698"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178FA683"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7CF3BBA3"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2D726A6E"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36" w:type="dxa"/>
            <w:tcBorders>
              <w:top w:val="nil"/>
              <w:left w:val="nil"/>
              <w:bottom w:val="nil"/>
              <w:right w:val="nil"/>
            </w:tcBorders>
            <w:shd w:val="clear" w:color="auto" w:fill="auto"/>
            <w:noWrap/>
            <w:vAlign w:val="bottom"/>
            <w:hideMark/>
          </w:tcPr>
          <w:p w14:paraId="1969CE83"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p>
        </w:tc>
      </w:tr>
      <w:tr w:rsidR="003777F2" w:rsidRPr="003777F2" w14:paraId="742FC073" w14:textId="77777777" w:rsidTr="003777F2">
        <w:trPr>
          <w:trHeight w:val="300"/>
        </w:trPr>
        <w:tc>
          <w:tcPr>
            <w:tcW w:w="3803" w:type="dxa"/>
            <w:vMerge/>
            <w:tcBorders>
              <w:top w:val="single" w:sz="8" w:space="0" w:color="auto"/>
              <w:left w:val="single" w:sz="8" w:space="0" w:color="auto"/>
              <w:bottom w:val="single" w:sz="8" w:space="0" w:color="000000"/>
              <w:right w:val="single" w:sz="8" w:space="0" w:color="auto"/>
            </w:tcBorders>
            <w:vAlign w:val="center"/>
            <w:hideMark/>
          </w:tcPr>
          <w:p w14:paraId="07190B64"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6" w:type="dxa"/>
            <w:vMerge/>
            <w:tcBorders>
              <w:top w:val="single" w:sz="8" w:space="0" w:color="auto"/>
              <w:left w:val="single" w:sz="8" w:space="0" w:color="auto"/>
              <w:bottom w:val="single" w:sz="8" w:space="0" w:color="000000"/>
              <w:right w:val="single" w:sz="8" w:space="0" w:color="auto"/>
            </w:tcBorders>
            <w:vAlign w:val="center"/>
            <w:hideMark/>
          </w:tcPr>
          <w:p w14:paraId="66D6C175"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57C8A64E"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47A0E164"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01F3981E"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791F61C1"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43F6256C"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36" w:type="dxa"/>
            <w:tcBorders>
              <w:top w:val="nil"/>
              <w:left w:val="nil"/>
              <w:bottom w:val="nil"/>
              <w:right w:val="nil"/>
            </w:tcBorders>
            <w:shd w:val="clear" w:color="auto" w:fill="auto"/>
            <w:noWrap/>
            <w:vAlign w:val="bottom"/>
            <w:hideMark/>
          </w:tcPr>
          <w:p w14:paraId="550677D3"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2C1F7BE4" w14:textId="77777777" w:rsidTr="003777F2">
        <w:trPr>
          <w:trHeight w:val="45"/>
        </w:trPr>
        <w:tc>
          <w:tcPr>
            <w:tcW w:w="3803" w:type="dxa"/>
            <w:vMerge/>
            <w:tcBorders>
              <w:top w:val="single" w:sz="8" w:space="0" w:color="auto"/>
              <w:left w:val="single" w:sz="8" w:space="0" w:color="auto"/>
              <w:bottom w:val="single" w:sz="8" w:space="0" w:color="000000"/>
              <w:right w:val="single" w:sz="8" w:space="0" w:color="auto"/>
            </w:tcBorders>
            <w:vAlign w:val="center"/>
            <w:hideMark/>
          </w:tcPr>
          <w:p w14:paraId="66F70412"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6" w:type="dxa"/>
            <w:vMerge/>
            <w:tcBorders>
              <w:top w:val="single" w:sz="8" w:space="0" w:color="auto"/>
              <w:left w:val="single" w:sz="8" w:space="0" w:color="auto"/>
              <w:bottom w:val="single" w:sz="8" w:space="0" w:color="000000"/>
              <w:right w:val="single" w:sz="8" w:space="0" w:color="auto"/>
            </w:tcBorders>
            <w:vAlign w:val="center"/>
            <w:hideMark/>
          </w:tcPr>
          <w:p w14:paraId="2D640FF7"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72C54002"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14357F4C"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63612FBE"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22718183"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7782513C"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36" w:type="dxa"/>
            <w:tcBorders>
              <w:top w:val="nil"/>
              <w:left w:val="nil"/>
              <w:bottom w:val="nil"/>
              <w:right w:val="nil"/>
            </w:tcBorders>
            <w:shd w:val="clear" w:color="auto" w:fill="auto"/>
            <w:noWrap/>
            <w:vAlign w:val="bottom"/>
            <w:hideMark/>
          </w:tcPr>
          <w:p w14:paraId="5D73520C"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1177FFBF" w14:textId="77777777" w:rsidTr="003777F2">
        <w:trPr>
          <w:trHeight w:val="300"/>
        </w:trPr>
        <w:tc>
          <w:tcPr>
            <w:tcW w:w="3803" w:type="dxa"/>
            <w:vMerge w:val="restart"/>
            <w:tcBorders>
              <w:top w:val="nil"/>
              <w:left w:val="single" w:sz="8" w:space="0" w:color="auto"/>
              <w:bottom w:val="single" w:sz="8" w:space="0" w:color="000000"/>
              <w:right w:val="single" w:sz="8" w:space="0" w:color="auto"/>
            </w:tcBorders>
            <w:shd w:val="clear" w:color="auto" w:fill="auto"/>
            <w:vAlign w:val="center"/>
            <w:hideMark/>
          </w:tcPr>
          <w:p w14:paraId="4EE09206"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Tilbyde mindre erhverv at deltage i den kommunale ordning for genanvendeligt affald</w:t>
            </w:r>
          </w:p>
        </w:tc>
        <w:tc>
          <w:tcPr>
            <w:tcW w:w="956" w:type="dxa"/>
            <w:vMerge w:val="restart"/>
            <w:tcBorders>
              <w:top w:val="nil"/>
              <w:left w:val="single" w:sz="8" w:space="0" w:color="auto"/>
              <w:bottom w:val="single" w:sz="8" w:space="0" w:color="000000"/>
              <w:right w:val="single" w:sz="8" w:space="0" w:color="auto"/>
            </w:tcBorders>
            <w:shd w:val="clear" w:color="auto" w:fill="auto"/>
            <w:vAlign w:val="center"/>
            <w:hideMark/>
          </w:tcPr>
          <w:p w14:paraId="184ED2DD"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22FC243B"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X</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3E06AAE6"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20D70DA0"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75328552"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2E317E98"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r w:rsidRPr="003777F2">
              <w:rPr>
                <w:rFonts w:ascii="Calibri" w:eastAsia="Times New Roman" w:hAnsi="Calibri" w:cs="Calibri"/>
                <w:color w:val="000000"/>
                <w:lang w:eastAsia="da-DK"/>
              </w:rPr>
              <w:t> </w:t>
            </w:r>
          </w:p>
        </w:tc>
        <w:tc>
          <w:tcPr>
            <w:tcW w:w="36" w:type="dxa"/>
            <w:vAlign w:val="center"/>
            <w:hideMark/>
          </w:tcPr>
          <w:p w14:paraId="3BD264F6"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r w:rsidR="003777F2" w:rsidRPr="003777F2" w14:paraId="3E0D10D1" w14:textId="77777777" w:rsidTr="003777F2">
        <w:trPr>
          <w:trHeight w:val="300"/>
        </w:trPr>
        <w:tc>
          <w:tcPr>
            <w:tcW w:w="3803" w:type="dxa"/>
            <w:vMerge/>
            <w:tcBorders>
              <w:top w:val="nil"/>
              <w:left w:val="single" w:sz="8" w:space="0" w:color="auto"/>
              <w:bottom w:val="single" w:sz="8" w:space="0" w:color="000000"/>
              <w:right w:val="single" w:sz="8" w:space="0" w:color="auto"/>
            </w:tcBorders>
            <w:vAlign w:val="center"/>
            <w:hideMark/>
          </w:tcPr>
          <w:p w14:paraId="439AF5B6"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6" w:type="dxa"/>
            <w:vMerge/>
            <w:tcBorders>
              <w:top w:val="nil"/>
              <w:left w:val="single" w:sz="8" w:space="0" w:color="auto"/>
              <w:bottom w:val="single" w:sz="8" w:space="0" w:color="000000"/>
              <w:right w:val="single" w:sz="8" w:space="0" w:color="auto"/>
            </w:tcBorders>
            <w:vAlign w:val="center"/>
            <w:hideMark/>
          </w:tcPr>
          <w:p w14:paraId="2AD13138"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3659EC9D"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32D71083"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7FA14462"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68C958CA"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0F601A86"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36" w:type="dxa"/>
            <w:tcBorders>
              <w:top w:val="nil"/>
              <w:left w:val="nil"/>
              <w:bottom w:val="nil"/>
              <w:right w:val="nil"/>
            </w:tcBorders>
            <w:shd w:val="clear" w:color="auto" w:fill="auto"/>
            <w:noWrap/>
            <w:vAlign w:val="bottom"/>
            <w:hideMark/>
          </w:tcPr>
          <w:p w14:paraId="74E631B0" w14:textId="77777777" w:rsidR="003777F2" w:rsidRPr="003777F2" w:rsidRDefault="003777F2" w:rsidP="003777F2">
            <w:pPr>
              <w:suppressAutoHyphens w:val="0"/>
              <w:autoSpaceDN/>
              <w:spacing w:after="0"/>
              <w:jc w:val="center"/>
              <w:textAlignment w:val="auto"/>
              <w:rPr>
                <w:rFonts w:ascii="Calibri" w:eastAsia="Times New Roman" w:hAnsi="Calibri" w:cs="Calibri"/>
                <w:color w:val="000000"/>
                <w:lang w:eastAsia="da-DK"/>
              </w:rPr>
            </w:pPr>
          </w:p>
        </w:tc>
      </w:tr>
      <w:tr w:rsidR="003777F2" w:rsidRPr="003777F2" w14:paraId="42B7B97F" w14:textId="77777777" w:rsidTr="003777F2">
        <w:trPr>
          <w:trHeight w:val="315"/>
        </w:trPr>
        <w:tc>
          <w:tcPr>
            <w:tcW w:w="3803" w:type="dxa"/>
            <w:vMerge/>
            <w:tcBorders>
              <w:top w:val="nil"/>
              <w:left w:val="single" w:sz="8" w:space="0" w:color="auto"/>
              <w:bottom w:val="single" w:sz="8" w:space="0" w:color="000000"/>
              <w:right w:val="single" w:sz="8" w:space="0" w:color="auto"/>
            </w:tcBorders>
            <w:vAlign w:val="center"/>
            <w:hideMark/>
          </w:tcPr>
          <w:p w14:paraId="164B00B7"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6" w:type="dxa"/>
            <w:vMerge/>
            <w:tcBorders>
              <w:top w:val="nil"/>
              <w:left w:val="single" w:sz="8" w:space="0" w:color="auto"/>
              <w:bottom w:val="single" w:sz="8" w:space="0" w:color="000000"/>
              <w:right w:val="single" w:sz="8" w:space="0" w:color="auto"/>
            </w:tcBorders>
            <w:vAlign w:val="center"/>
            <w:hideMark/>
          </w:tcPr>
          <w:p w14:paraId="56671757"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4BF73A8C"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668DF3CF"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6ECF3C11"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1F403949"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957" w:type="dxa"/>
            <w:vMerge/>
            <w:tcBorders>
              <w:top w:val="nil"/>
              <w:left w:val="single" w:sz="8" w:space="0" w:color="auto"/>
              <w:bottom w:val="single" w:sz="8" w:space="0" w:color="000000"/>
              <w:right w:val="single" w:sz="8" w:space="0" w:color="auto"/>
            </w:tcBorders>
            <w:vAlign w:val="center"/>
            <w:hideMark/>
          </w:tcPr>
          <w:p w14:paraId="7DE26894" w14:textId="77777777" w:rsidR="003777F2" w:rsidRPr="003777F2" w:rsidRDefault="003777F2" w:rsidP="003777F2">
            <w:pPr>
              <w:suppressAutoHyphens w:val="0"/>
              <w:autoSpaceDN/>
              <w:spacing w:after="0"/>
              <w:textAlignment w:val="auto"/>
              <w:rPr>
                <w:rFonts w:ascii="Calibri" w:eastAsia="Times New Roman" w:hAnsi="Calibri" w:cs="Calibri"/>
                <w:color w:val="000000"/>
                <w:lang w:eastAsia="da-DK"/>
              </w:rPr>
            </w:pPr>
          </w:p>
        </w:tc>
        <w:tc>
          <w:tcPr>
            <w:tcW w:w="36" w:type="dxa"/>
            <w:tcBorders>
              <w:top w:val="nil"/>
              <w:left w:val="nil"/>
              <w:bottom w:val="nil"/>
              <w:right w:val="nil"/>
            </w:tcBorders>
            <w:shd w:val="clear" w:color="auto" w:fill="auto"/>
            <w:noWrap/>
            <w:vAlign w:val="bottom"/>
            <w:hideMark/>
          </w:tcPr>
          <w:p w14:paraId="71D2E568" w14:textId="77777777" w:rsidR="003777F2" w:rsidRPr="003777F2" w:rsidRDefault="003777F2" w:rsidP="003777F2">
            <w:pPr>
              <w:suppressAutoHyphens w:val="0"/>
              <w:autoSpaceDN/>
              <w:spacing w:after="0"/>
              <w:textAlignment w:val="auto"/>
              <w:rPr>
                <w:rFonts w:ascii="Times New Roman" w:eastAsia="Times New Roman" w:hAnsi="Times New Roman" w:cs="Times New Roman"/>
                <w:sz w:val="20"/>
                <w:szCs w:val="20"/>
                <w:lang w:eastAsia="da-DK"/>
              </w:rPr>
            </w:pPr>
          </w:p>
        </w:tc>
      </w:tr>
    </w:tbl>
    <w:p w14:paraId="44835648" w14:textId="77777777" w:rsidR="00EA474C" w:rsidRPr="00EA474C" w:rsidRDefault="00EA474C" w:rsidP="00EA474C"/>
    <w:p w14:paraId="0DCABD65" w14:textId="77777777" w:rsidR="00EA474C" w:rsidRDefault="00EA474C">
      <w:pPr>
        <w:suppressAutoHyphens w:val="0"/>
        <w:autoSpaceDN/>
        <w:spacing w:after="200" w:line="276" w:lineRule="auto"/>
        <w:textAlignment w:val="auto"/>
        <w:rPr>
          <w:rFonts w:ascii="Verdana" w:eastAsiaTheme="majorEastAsia" w:hAnsi="Verdana" w:cstheme="majorBidi"/>
          <w:b/>
          <w:bCs/>
          <w:caps/>
          <w:sz w:val="40"/>
          <w:szCs w:val="28"/>
        </w:rPr>
      </w:pPr>
      <w:r>
        <w:br w:type="page"/>
      </w:r>
    </w:p>
    <w:p w14:paraId="231F6C42" w14:textId="47291300" w:rsidR="005C6EE6" w:rsidRPr="005C6EE6" w:rsidRDefault="005C6EE6" w:rsidP="00EA29FC">
      <w:pPr>
        <w:pStyle w:val="Overskrift1"/>
      </w:pPr>
      <w:bookmarkStart w:id="477" w:name="_Toc85189874"/>
      <w:r w:rsidRPr="005C6EE6">
        <w:lastRenderedPageBreak/>
        <w:t>Bilag</w:t>
      </w:r>
      <w:bookmarkEnd w:id="466"/>
      <w:bookmarkEnd w:id="467"/>
      <w:bookmarkEnd w:id="468"/>
      <w:bookmarkEnd w:id="469"/>
      <w:bookmarkEnd w:id="470"/>
      <w:bookmarkEnd w:id="471"/>
      <w:bookmarkEnd w:id="472"/>
      <w:bookmarkEnd w:id="473"/>
      <w:bookmarkEnd w:id="474"/>
      <w:bookmarkEnd w:id="476"/>
      <w:bookmarkEnd w:id="477"/>
    </w:p>
    <w:p w14:paraId="0788E909" w14:textId="77777777" w:rsidR="005C6EE6" w:rsidRPr="005C6EE6" w:rsidRDefault="005C6EE6" w:rsidP="005C6EE6"/>
    <w:p w14:paraId="2A60B591" w14:textId="77777777" w:rsidR="005C6EE6" w:rsidRPr="005C6EE6" w:rsidRDefault="005C6EE6" w:rsidP="005C6EE6">
      <w:r w:rsidRPr="005C6EE6">
        <w:t>Bilagsfortegnelse:</w:t>
      </w:r>
    </w:p>
    <w:p w14:paraId="5B225776" w14:textId="77777777" w:rsidR="005C6EE6" w:rsidRPr="005C6EE6" w:rsidRDefault="005C6EE6" w:rsidP="005C6EE6">
      <w:r w:rsidRPr="005C6EE6">
        <w:t>I</w:t>
      </w:r>
      <w:r w:rsidRPr="005C6EE6">
        <w:tab/>
        <w:t>EU-målsætninger, der anvendes som indikatorer</w:t>
      </w:r>
    </w:p>
    <w:p w14:paraId="4F823743" w14:textId="77777777" w:rsidR="005C6EE6" w:rsidRPr="005C6EE6" w:rsidRDefault="005C6EE6" w:rsidP="00D739A5">
      <w:pPr>
        <w:ind w:left="1304" w:hanging="1304"/>
      </w:pPr>
      <w:r w:rsidRPr="005C6EE6">
        <w:t>IIa</w:t>
      </w:r>
      <w:r w:rsidRPr="005C6EE6">
        <w:tab/>
        <w:t>Indsamlede mængder af affald, der indgår i beregningen af genanvendelsesprocenten efter tidligere regler, 2010-2020</w:t>
      </w:r>
    </w:p>
    <w:p w14:paraId="518EE6AC" w14:textId="77777777" w:rsidR="005C6EE6" w:rsidRPr="005C6EE6" w:rsidRDefault="005C6EE6" w:rsidP="00D739A5">
      <w:pPr>
        <w:ind w:left="1304" w:hanging="1304"/>
      </w:pPr>
      <w:r w:rsidRPr="005C6EE6">
        <w:t>IIb</w:t>
      </w:r>
      <w:r w:rsidRPr="005C6EE6">
        <w:tab/>
        <w:t>De samlede mængder af indsamlet kommunalt affald i referenceåret 2014 og i perioden 2017-2020 og den reelle genanvendelse heraf</w:t>
      </w:r>
    </w:p>
    <w:p w14:paraId="72342C73" w14:textId="77777777" w:rsidR="005C6EE6" w:rsidRPr="005C6EE6" w:rsidRDefault="005C6EE6" w:rsidP="00D739A5">
      <w:pPr>
        <w:ind w:left="1304" w:hanging="1304"/>
      </w:pPr>
      <w:r w:rsidRPr="005C6EE6">
        <w:t>IIc</w:t>
      </w:r>
      <w:r w:rsidRPr="005C6EE6">
        <w:tab/>
        <w:t>Indsamlede mængder på genbrugspladser i referenceåret 2014 og i perioden 2017-2020 og den reelle genanvendelse heraf.</w:t>
      </w:r>
    </w:p>
    <w:p w14:paraId="569A1B0E" w14:textId="77777777" w:rsidR="005C6EE6" w:rsidRPr="005C6EE6" w:rsidRDefault="005C6EE6" w:rsidP="005C6EE6">
      <w:r w:rsidRPr="005C6EE6">
        <w:t>IId</w:t>
      </w:r>
      <w:r w:rsidRPr="005C6EE6">
        <w:tab/>
        <w:t>Metal genvundet fra forbrændingsslagge 2019 og 2020</w:t>
      </w:r>
    </w:p>
    <w:p w14:paraId="710CDBD9" w14:textId="77777777" w:rsidR="005C6EE6" w:rsidRPr="005C6EE6" w:rsidRDefault="005C6EE6" w:rsidP="00D739A5">
      <w:pPr>
        <w:ind w:left="1304" w:hanging="1304"/>
      </w:pPr>
      <w:r w:rsidRPr="005C6EE6">
        <w:t>IIe</w:t>
      </w:r>
      <w:r w:rsidRPr="005C6EE6">
        <w:tab/>
        <w:t>Erhvervsaffaldsmængder til deponering og forbrænding i referenceåret 2014 og i perioden 2017-2020</w:t>
      </w:r>
    </w:p>
    <w:p w14:paraId="155B0607" w14:textId="77777777" w:rsidR="005C6EE6" w:rsidRPr="005C6EE6" w:rsidRDefault="005C6EE6" w:rsidP="00D739A5">
      <w:pPr>
        <w:ind w:left="1304" w:hanging="1304"/>
      </w:pPr>
      <w:r w:rsidRPr="005C6EE6">
        <w:t>IIf</w:t>
      </w:r>
      <w:r w:rsidRPr="005C6EE6">
        <w:tab/>
        <w:t>Erhvervsaffaldsmængder til genanvendelse 2017-2019 [dette bilag må genereres af kommunerne selv, da AffaldPlus ikke har adgang til de pågældende data i ADS]</w:t>
      </w:r>
    </w:p>
    <w:p w14:paraId="6002E720" w14:textId="77777777" w:rsidR="005C6EE6" w:rsidRPr="005C6EE6" w:rsidRDefault="005C6EE6" w:rsidP="00D739A5">
      <w:pPr>
        <w:ind w:left="1304" w:hanging="1304"/>
      </w:pPr>
      <w:r w:rsidRPr="005C6EE6">
        <w:t>III</w:t>
      </w:r>
      <w:r w:rsidRPr="005C6EE6">
        <w:tab/>
        <w:t>De faktiske mængder af kommunalt affald i 2020 sammenholdt med de forventede mængder i 2025 og 2030, samt den forventede reelle genanvendelse heraf.</w:t>
      </w:r>
    </w:p>
    <w:p w14:paraId="6A699362" w14:textId="77777777" w:rsidR="005C6EE6" w:rsidRPr="005C6EE6" w:rsidRDefault="005C6EE6" w:rsidP="005C6EE6">
      <w:r w:rsidRPr="005C6EE6">
        <w:t>IV</w:t>
      </w:r>
      <w:r w:rsidRPr="005C6EE6">
        <w:tab/>
        <w:t>Klima-effekterne af affaldshåndteringen nu og i fremtiden</w:t>
      </w:r>
    </w:p>
    <w:p w14:paraId="6F4811DB" w14:textId="77777777" w:rsidR="005C6EE6" w:rsidRPr="005C6EE6" w:rsidRDefault="005C6EE6" w:rsidP="005C6EE6"/>
    <w:p w14:paraId="3AE1F70B" w14:textId="77777777" w:rsidR="005C6EE6" w:rsidRPr="005C6EE6" w:rsidRDefault="005C6EE6" w:rsidP="00734304"/>
    <w:p w14:paraId="09CF3DD6" w14:textId="77777777" w:rsidR="005C6EE6" w:rsidRPr="005C6EE6" w:rsidRDefault="005C6EE6" w:rsidP="005C6EE6">
      <w:pPr>
        <w:rPr>
          <w:rFonts w:eastAsia="Times New Roman"/>
          <w:color w:val="2E74B5"/>
        </w:rPr>
      </w:pPr>
      <w:bookmarkStart w:id="478" w:name="_Toc68083529"/>
      <w:bookmarkStart w:id="479" w:name="_Toc68090458"/>
      <w:bookmarkStart w:id="480" w:name="_Toc68530431"/>
      <w:bookmarkStart w:id="481" w:name="_Toc68582162"/>
      <w:bookmarkStart w:id="482" w:name="_Toc68611343"/>
      <w:bookmarkStart w:id="483" w:name="_Toc69216659"/>
      <w:bookmarkStart w:id="484" w:name="_Toc70950953"/>
      <w:bookmarkStart w:id="485" w:name="_Toc71191768"/>
      <w:bookmarkStart w:id="486" w:name="_Toc65685167"/>
      <w:bookmarkStart w:id="487" w:name="_Toc66217115"/>
      <w:bookmarkStart w:id="488" w:name="_Hlk65672720"/>
      <w:r w:rsidRPr="005C6EE6">
        <w:br w:type="page"/>
      </w:r>
    </w:p>
    <w:p w14:paraId="6E83F03D" w14:textId="77777777" w:rsidR="005C6EE6" w:rsidRPr="00734304" w:rsidRDefault="005C6EE6" w:rsidP="00EA29FC">
      <w:pPr>
        <w:pStyle w:val="Overskrift4"/>
        <w:rPr>
          <w:rFonts w:ascii="Arial" w:hAnsi="Arial" w:cs="Arial"/>
        </w:rPr>
      </w:pPr>
      <w:bookmarkStart w:id="489" w:name="_Toc76126083"/>
      <w:r w:rsidRPr="00734304">
        <w:rPr>
          <w:rFonts w:ascii="Arial" w:hAnsi="Arial" w:cs="Arial"/>
        </w:rPr>
        <w:lastRenderedPageBreak/>
        <w:t>Bilag I: EU-målsætninger, der anvendes som indikatorer</w:t>
      </w:r>
      <w:bookmarkEnd w:id="478"/>
      <w:bookmarkEnd w:id="479"/>
      <w:bookmarkEnd w:id="480"/>
      <w:bookmarkEnd w:id="481"/>
      <w:bookmarkEnd w:id="482"/>
      <w:bookmarkEnd w:id="483"/>
      <w:bookmarkEnd w:id="484"/>
      <w:bookmarkEnd w:id="485"/>
      <w:bookmarkEnd w:id="489"/>
      <w:r w:rsidRPr="00734304">
        <w:rPr>
          <w:rFonts w:ascii="Arial" w:hAnsi="Arial" w:cs="Arial"/>
        </w:rPr>
        <w:t xml:space="preserve"> </w:t>
      </w:r>
    </w:p>
    <w:bookmarkEnd w:id="486"/>
    <w:bookmarkEnd w:id="487"/>
    <w:p w14:paraId="777F19F6" w14:textId="3166A421" w:rsidR="005C6EE6" w:rsidRPr="0068390D" w:rsidRDefault="005C6EE6" w:rsidP="0068390D">
      <w:pPr>
        <w:pStyle w:val="Fodnotetekst"/>
        <w:rPr>
          <w:sz w:val="22"/>
          <w:szCs w:val="22"/>
        </w:rPr>
      </w:pPr>
      <w:r w:rsidRPr="0068390D">
        <w:rPr>
          <w:sz w:val="22"/>
          <w:szCs w:val="22"/>
        </w:rPr>
        <w:t>Det er regeringens målsætning at sikre mere og bedre genanvendelse. Til at følge udviklingen bruges følgende bindende EU-målsætninger som indikatorer</w:t>
      </w:r>
      <w:r w:rsidR="0068390D">
        <w:rPr>
          <w:sz w:val="22"/>
          <w:szCs w:val="22"/>
        </w:rPr>
        <w:t xml:space="preserve"> </w:t>
      </w:r>
      <w:r w:rsidR="0068390D" w:rsidRPr="0068390D">
        <w:rPr>
          <w:sz w:val="22"/>
          <w:szCs w:val="22"/>
        </w:rPr>
        <w:t>(Hentet fra p. 73/74 i Handlingsplan for cirkulær økonomi)</w:t>
      </w:r>
      <w:r w:rsidRPr="0068390D">
        <w:rPr>
          <w:sz w:val="22"/>
          <w:szCs w:val="22"/>
        </w:rPr>
        <w:t>:</w:t>
      </w:r>
    </w:p>
    <w:bookmarkEnd w:id="488"/>
    <w:p w14:paraId="6213F80A" w14:textId="77777777" w:rsidR="005C6EE6" w:rsidRPr="00EA29FC" w:rsidRDefault="005C6EE6" w:rsidP="005C6EE6">
      <w:pPr>
        <w:pStyle w:val="Listeafsnit"/>
        <w:numPr>
          <w:ilvl w:val="0"/>
          <w:numId w:val="16"/>
        </w:numPr>
        <w:rPr>
          <w:rFonts w:ascii="Arial" w:hAnsi="Arial" w:cs="Arial"/>
        </w:rPr>
      </w:pPr>
      <w:r w:rsidRPr="00EA29FC">
        <w:rPr>
          <w:rFonts w:ascii="Arial" w:hAnsi="Arial" w:cs="Arial"/>
        </w:rPr>
        <w:t>Genanvendelsen af husholdningsaffald og lignende affald fra andre kilder (Municipal Waste) øges til mindst 50 pct. i 2020, 55 pct. i 2025, 60 pct. i 2030 og 65 pct. i 2035.</w:t>
      </w:r>
    </w:p>
    <w:p w14:paraId="331F7345" w14:textId="77777777" w:rsidR="005C6EE6" w:rsidRPr="00EA29FC" w:rsidRDefault="005C6EE6" w:rsidP="005C6EE6">
      <w:pPr>
        <w:pStyle w:val="Listeafsnit"/>
        <w:numPr>
          <w:ilvl w:val="0"/>
          <w:numId w:val="16"/>
        </w:numPr>
        <w:rPr>
          <w:rFonts w:ascii="Arial" w:hAnsi="Arial" w:cs="Arial"/>
        </w:rPr>
      </w:pPr>
      <w:r w:rsidRPr="00EA29FC">
        <w:rPr>
          <w:rFonts w:ascii="Arial" w:hAnsi="Arial" w:cs="Arial"/>
        </w:rPr>
        <w:t>Deponi af husholdningsaffald og lignende affald fra andre kilder (Municipal Waste) fastholdes under 10 pct.</w:t>
      </w:r>
    </w:p>
    <w:p w14:paraId="5895FD86" w14:textId="77777777" w:rsidR="005C6EE6" w:rsidRPr="00EA29FC" w:rsidRDefault="005C6EE6" w:rsidP="005C6EE6">
      <w:pPr>
        <w:pStyle w:val="Listeafsnit"/>
        <w:numPr>
          <w:ilvl w:val="0"/>
          <w:numId w:val="16"/>
        </w:numPr>
        <w:rPr>
          <w:rFonts w:ascii="Arial" w:hAnsi="Arial" w:cs="Arial"/>
        </w:rPr>
      </w:pPr>
      <w:r w:rsidRPr="00EA29FC">
        <w:rPr>
          <w:rFonts w:ascii="Arial" w:hAnsi="Arial" w:cs="Arial"/>
        </w:rPr>
        <w:t>Genanvendelsen af emballageaffald (fra både husholdninger og virksomheder) øges til mindst 65 pct. i 2025 og 70 pct. i 2030.</w:t>
      </w:r>
    </w:p>
    <w:p w14:paraId="0D2BE742" w14:textId="77777777" w:rsidR="005C6EE6" w:rsidRPr="00EA29FC" w:rsidRDefault="005C6EE6" w:rsidP="005C6EE6">
      <w:pPr>
        <w:pStyle w:val="Listeafsnit"/>
        <w:numPr>
          <w:ilvl w:val="0"/>
          <w:numId w:val="16"/>
        </w:numPr>
        <w:rPr>
          <w:rFonts w:ascii="Arial" w:hAnsi="Arial" w:cs="Arial"/>
        </w:rPr>
      </w:pPr>
      <w:r w:rsidRPr="00EA29FC">
        <w:rPr>
          <w:rFonts w:ascii="Arial" w:hAnsi="Arial" w:cs="Arial"/>
        </w:rPr>
        <w:t>Genanvendelsen af glasemballageaffald (fra både husholdninger og virksomheder) holdes over 70 pct. i 2025 og 75 pct. i 2030.</w:t>
      </w:r>
    </w:p>
    <w:p w14:paraId="68537FD4" w14:textId="77777777" w:rsidR="005C6EE6" w:rsidRPr="00EA29FC" w:rsidRDefault="005C6EE6" w:rsidP="005C6EE6">
      <w:pPr>
        <w:pStyle w:val="Listeafsnit"/>
        <w:numPr>
          <w:ilvl w:val="0"/>
          <w:numId w:val="16"/>
        </w:numPr>
        <w:rPr>
          <w:rFonts w:ascii="Arial" w:hAnsi="Arial" w:cs="Arial"/>
        </w:rPr>
      </w:pPr>
      <w:r w:rsidRPr="00EA29FC">
        <w:rPr>
          <w:rFonts w:ascii="Arial" w:hAnsi="Arial" w:cs="Arial"/>
        </w:rPr>
        <w:t>Genanvendelsen af plastemballageaffald (fra både husholdninger og virksomheder) øges til mindst 50 pct. i 2025 og 55 pct. i 2030.</w:t>
      </w:r>
    </w:p>
    <w:p w14:paraId="665BD256" w14:textId="77777777" w:rsidR="005C6EE6" w:rsidRPr="00EA29FC" w:rsidRDefault="005C6EE6" w:rsidP="005C6EE6">
      <w:pPr>
        <w:pStyle w:val="Listeafsnit"/>
        <w:numPr>
          <w:ilvl w:val="0"/>
          <w:numId w:val="16"/>
        </w:numPr>
        <w:rPr>
          <w:rFonts w:ascii="Arial" w:hAnsi="Arial" w:cs="Arial"/>
        </w:rPr>
      </w:pPr>
      <w:r w:rsidRPr="00EA29FC">
        <w:rPr>
          <w:rFonts w:ascii="Arial" w:hAnsi="Arial" w:cs="Arial"/>
        </w:rPr>
        <w:t xml:space="preserve">Genanvendelsen af papir- og papemballageaffald (fra både husholdninger og virksomheder) holdes over 75 pct. i 2025 og øges til mindst 80 pct. i 2030. </w:t>
      </w:r>
    </w:p>
    <w:p w14:paraId="6BA123C7" w14:textId="77777777" w:rsidR="005C6EE6" w:rsidRPr="00EA29FC" w:rsidRDefault="005C6EE6" w:rsidP="005C6EE6">
      <w:pPr>
        <w:pStyle w:val="Listeafsnit"/>
        <w:numPr>
          <w:ilvl w:val="0"/>
          <w:numId w:val="16"/>
        </w:numPr>
        <w:rPr>
          <w:rFonts w:ascii="Arial" w:hAnsi="Arial" w:cs="Arial"/>
        </w:rPr>
      </w:pPr>
      <w:r w:rsidRPr="00EA29FC">
        <w:rPr>
          <w:rFonts w:ascii="Arial" w:hAnsi="Arial" w:cs="Arial"/>
        </w:rPr>
        <w:t>Genanvendelsen af jernemballageaffald (fra både husholdninger og virksomheder) holdes over 70 pct. i 2025 og 80 pct. i 2030.</w:t>
      </w:r>
    </w:p>
    <w:p w14:paraId="1FE670C5" w14:textId="77777777" w:rsidR="005C6EE6" w:rsidRPr="00EA29FC" w:rsidRDefault="005C6EE6" w:rsidP="005C6EE6">
      <w:pPr>
        <w:pStyle w:val="Listeafsnit"/>
        <w:numPr>
          <w:ilvl w:val="0"/>
          <w:numId w:val="16"/>
        </w:numPr>
        <w:rPr>
          <w:rFonts w:ascii="Arial" w:hAnsi="Arial" w:cs="Arial"/>
        </w:rPr>
      </w:pPr>
      <w:r w:rsidRPr="00EA29FC">
        <w:rPr>
          <w:rFonts w:ascii="Arial" w:hAnsi="Arial" w:cs="Arial"/>
        </w:rPr>
        <w:t>Genanvendelsen af aluminiumsemballageaffald (fra både husholdninger og virksomheder) holdes over 50 pct. i 2025 og 60 pct. i 2030.</w:t>
      </w:r>
    </w:p>
    <w:p w14:paraId="6681098F" w14:textId="77777777" w:rsidR="005C6EE6" w:rsidRPr="00EA29FC" w:rsidRDefault="005C6EE6" w:rsidP="005C6EE6">
      <w:pPr>
        <w:pStyle w:val="Listeafsnit"/>
        <w:numPr>
          <w:ilvl w:val="0"/>
          <w:numId w:val="16"/>
        </w:numPr>
        <w:rPr>
          <w:rFonts w:ascii="Arial" w:hAnsi="Arial" w:cs="Arial"/>
        </w:rPr>
      </w:pPr>
      <w:r w:rsidRPr="00EA29FC">
        <w:rPr>
          <w:rFonts w:ascii="Arial" w:hAnsi="Arial" w:cs="Arial"/>
        </w:rPr>
        <w:t>Genanvendelsen af træemballageaffald (fra både husholdninger og virksomheder) holdes over 25 pct. i 2025 og 30 pct. i 2030.</w:t>
      </w:r>
    </w:p>
    <w:p w14:paraId="7F58A489" w14:textId="77777777" w:rsidR="005C6EE6" w:rsidRPr="00EA29FC" w:rsidRDefault="005C6EE6" w:rsidP="005C6EE6">
      <w:pPr>
        <w:pStyle w:val="Listeafsnit"/>
        <w:numPr>
          <w:ilvl w:val="0"/>
          <w:numId w:val="16"/>
        </w:numPr>
        <w:rPr>
          <w:rFonts w:ascii="Arial" w:hAnsi="Arial" w:cs="Arial"/>
        </w:rPr>
      </w:pPr>
      <w:r w:rsidRPr="00EA29FC">
        <w:rPr>
          <w:rFonts w:ascii="Arial" w:hAnsi="Arial" w:cs="Arial"/>
        </w:rPr>
        <w:t>Genanvendelse eller forberedelse med henblik på genbrug af udtjente køretøjer fastholdes over 85 pct.</w:t>
      </w:r>
    </w:p>
    <w:p w14:paraId="06AD2A10" w14:textId="77777777" w:rsidR="005C6EE6" w:rsidRPr="00EA29FC" w:rsidRDefault="005C6EE6" w:rsidP="005C6EE6">
      <w:pPr>
        <w:pStyle w:val="Listeafsnit"/>
        <w:numPr>
          <w:ilvl w:val="0"/>
          <w:numId w:val="16"/>
        </w:numPr>
        <w:rPr>
          <w:rFonts w:ascii="Arial" w:hAnsi="Arial" w:cs="Arial"/>
        </w:rPr>
      </w:pPr>
      <w:r w:rsidRPr="00EA29FC">
        <w:rPr>
          <w:rFonts w:ascii="Arial" w:hAnsi="Arial" w:cs="Arial"/>
        </w:rPr>
        <w:t>Genanvendelse, forberedelse med henblik på genbrug eller anden nyttiggørelse af udtjente køretøjer fastholdes over 95 pct.</w:t>
      </w:r>
    </w:p>
    <w:p w14:paraId="3C3358E4" w14:textId="77777777" w:rsidR="005C6EE6" w:rsidRPr="00EA29FC" w:rsidRDefault="005C6EE6" w:rsidP="005C6EE6">
      <w:pPr>
        <w:pStyle w:val="Listeafsnit"/>
        <w:numPr>
          <w:ilvl w:val="0"/>
          <w:numId w:val="16"/>
        </w:numPr>
        <w:rPr>
          <w:rFonts w:ascii="Arial" w:hAnsi="Arial" w:cs="Arial"/>
        </w:rPr>
      </w:pPr>
      <w:r w:rsidRPr="00EA29FC">
        <w:rPr>
          <w:rFonts w:ascii="Arial" w:hAnsi="Arial" w:cs="Arial"/>
        </w:rPr>
        <w:t>Særkilt indsamling af elektronikaffaldet holdes over 65 pct. fra 2019</w:t>
      </w:r>
    </w:p>
    <w:p w14:paraId="18E5FBB2" w14:textId="77777777" w:rsidR="005C6EE6" w:rsidRPr="00EA29FC" w:rsidRDefault="005C6EE6" w:rsidP="005C6EE6">
      <w:pPr>
        <w:pStyle w:val="Listeafsnit"/>
        <w:numPr>
          <w:ilvl w:val="0"/>
          <w:numId w:val="16"/>
        </w:numPr>
        <w:rPr>
          <w:rFonts w:ascii="Arial" w:hAnsi="Arial" w:cs="Arial"/>
        </w:rPr>
      </w:pPr>
      <w:r w:rsidRPr="00EA29FC">
        <w:rPr>
          <w:rFonts w:ascii="Arial" w:hAnsi="Arial" w:cs="Arial"/>
        </w:rPr>
        <w:t>Særskilt indsamling af batteriaffaldet fastholdes over 45 pct.</w:t>
      </w:r>
    </w:p>
    <w:p w14:paraId="49F59F79" w14:textId="77777777" w:rsidR="005C6EE6" w:rsidRPr="00EA29FC" w:rsidRDefault="005C6EE6" w:rsidP="005C6EE6">
      <w:pPr>
        <w:pStyle w:val="Listeafsnit"/>
        <w:numPr>
          <w:ilvl w:val="0"/>
          <w:numId w:val="16"/>
        </w:numPr>
        <w:rPr>
          <w:rFonts w:ascii="Arial" w:hAnsi="Arial" w:cs="Arial"/>
        </w:rPr>
      </w:pPr>
      <w:r w:rsidRPr="00EA29FC">
        <w:rPr>
          <w:rFonts w:ascii="Arial" w:hAnsi="Arial" w:cs="Arial"/>
        </w:rPr>
        <w:t>Det er regeringens målsætning, at mængden af marint affald reduceres væsentlig med henblik på at nå FN målet om, at marint affald skal forebygges og væsentligt reduceres inden 2025.</w:t>
      </w:r>
    </w:p>
    <w:p w14:paraId="6EF3CD8E" w14:textId="77777777" w:rsidR="005C6EE6" w:rsidRPr="005C6EE6" w:rsidRDefault="005C6EE6" w:rsidP="005C6EE6">
      <w:r w:rsidRPr="005C6EE6">
        <w:t>Til at følge udviklingen bruges følgende indikatorer:</w:t>
      </w:r>
    </w:p>
    <w:p w14:paraId="1A21B04F" w14:textId="77777777" w:rsidR="005C6EE6" w:rsidRPr="00EA29FC" w:rsidRDefault="005C6EE6" w:rsidP="005C6EE6">
      <w:pPr>
        <w:pStyle w:val="Listeafsnit"/>
        <w:numPr>
          <w:ilvl w:val="0"/>
          <w:numId w:val="17"/>
        </w:numPr>
        <w:rPr>
          <w:rFonts w:ascii="Arial" w:hAnsi="Arial" w:cs="Arial"/>
        </w:rPr>
      </w:pPr>
      <w:r w:rsidRPr="00EA29FC">
        <w:rPr>
          <w:rFonts w:ascii="Arial" w:hAnsi="Arial" w:cs="Arial"/>
        </w:rPr>
        <w:t>Antal affaldsstykker på referencestrande i Danmark (pr. 100 meter)</w:t>
      </w:r>
    </w:p>
    <w:p w14:paraId="19757395" w14:textId="77777777" w:rsidR="005C6EE6" w:rsidRPr="00EA29FC" w:rsidRDefault="005C6EE6" w:rsidP="005C6EE6">
      <w:pPr>
        <w:pStyle w:val="Listeafsnit"/>
        <w:numPr>
          <w:ilvl w:val="0"/>
          <w:numId w:val="17"/>
        </w:numPr>
        <w:rPr>
          <w:rFonts w:ascii="Arial" w:hAnsi="Arial" w:cs="Arial"/>
        </w:rPr>
      </w:pPr>
      <w:r w:rsidRPr="00EA29FC">
        <w:rPr>
          <w:rFonts w:ascii="Arial" w:hAnsi="Arial" w:cs="Arial"/>
        </w:rPr>
        <w:t xml:space="preserve">Plast i maveindholdet i strandede mallemukker (gram plastik og antal plastikstykker pr. fugl) </w:t>
      </w:r>
    </w:p>
    <w:p w14:paraId="49DFED66" w14:textId="77777777" w:rsidR="005C6EE6" w:rsidRPr="00EA29FC" w:rsidRDefault="005C6EE6" w:rsidP="005C6EE6">
      <w:pPr>
        <w:pStyle w:val="Listeafsnit"/>
        <w:numPr>
          <w:ilvl w:val="0"/>
          <w:numId w:val="17"/>
        </w:numPr>
        <w:rPr>
          <w:rFonts w:ascii="Arial" w:hAnsi="Arial" w:cs="Arial"/>
        </w:rPr>
      </w:pPr>
      <w:r w:rsidRPr="00EA29FC">
        <w:rPr>
          <w:rFonts w:ascii="Arial" w:hAnsi="Arial" w:cs="Arial"/>
        </w:rPr>
        <w:t xml:space="preserve">Affald på havbunden (antal affaldsstykker pr. km2) </w:t>
      </w:r>
    </w:p>
    <w:p w14:paraId="6B8ECFCC" w14:textId="4CDF6DE1" w:rsidR="003F6914" w:rsidRPr="003F6914" w:rsidRDefault="005C6EE6" w:rsidP="003F6914">
      <w:pPr>
        <w:pStyle w:val="Listeafsnit"/>
        <w:numPr>
          <w:ilvl w:val="0"/>
          <w:numId w:val="17"/>
        </w:numPr>
        <w:rPr>
          <w:rFonts w:ascii="Arial" w:hAnsi="Arial" w:cs="Arial"/>
        </w:rPr>
      </w:pPr>
      <w:r w:rsidRPr="00EA29FC">
        <w:rPr>
          <w:rFonts w:ascii="Arial" w:hAnsi="Arial" w:cs="Arial"/>
        </w:rPr>
        <w:t>Kommende indikator for mikroaffald/mikroplast (denne indikator er under udvikling</w:t>
      </w:r>
      <w:bookmarkStart w:id="490" w:name="_Toc68611344"/>
      <w:bookmarkStart w:id="491" w:name="_Toc69216660"/>
      <w:bookmarkStart w:id="492" w:name="_Toc70950954"/>
      <w:bookmarkStart w:id="493" w:name="_Toc71191769"/>
      <w:r w:rsidR="00383DEB">
        <w:rPr>
          <w:rFonts w:ascii="Arial" w:hAnsi="Arial" w:cs="Arial"/>
        </w:rPr>
        <w:t>)</w:t>
      </w:r>
    </w:p>
    <w:p w14:paraId="6DAFAD76" w14:textId="1F053955" w:rsidR="00EC6B0B" w:rsidRDefault="00EC6B0B" w:rsidP="00EC6B0B">
      <w:pPr>
        <w:pStyle w:val="Overskrift4"/>
        <w:rPr>
          <w:rFonts w:ascii="Arial" w:hAnsi="Arial" w:cs="Arial"/>
        </w:rPr>
      </w:pPr>
      <w:r w:rsidRPr="00734304">
        <w:rPr>
          <w:rFonts w:ascii="Arial" w:hAnsi="Arial" w:cs="Arial"/>
        </w:rPr>
        <w:lastRenderedPageBreak/>
        <w:t>Bilag IIa: Indsamlede mængder af affald, der indgår i beregningen af genanvendelsesprocenten efter tidligere regler, 2010-2020</w:t>
      </w:r>
    </w:p>
    <w:p w14:paraId="079E7065" w14:textId="56430B7F" w:rsidR="00EC6B0B" w:rsidRPr="00EC6B0B" w:rsidRDefault="00451C4D" w:rsidP="00EC6B0B">
      <w:r w:rsidRPr="005C6EE6">
        <w:rPr>
          <w:noProof/>
        </w:rPr>
        <mc:AlternateContent>
          <mc:Choice Requires="wps">
            <w:drawing>
              <wp:anchor distT="45720" distB="45720" distL="114300" distR="114300" simplePos="0" relativeHeight="251661312" behindDoc="0" locked="0" layoutInCell="1" allowOverlap="1" wp14:anchorId="1C48D76E" wp14:editId="651CE193">
                <wp:simplePos x="0" y="0"/>
                <wp:positionH relativeFrom="margin">
                  <wp:align>left</wp:align>
                </wp:positionH>
                <wp:positionV relativeFrom="paragraph">
                  <wp:posOffset>5080</wp:posOffset>
                </wp:positionV>
                <wp:extent cx="5570855" cy="1404620"/>
                <wp:effectExtent l="0" t="0" r="10795" b="10160"/>
                <wp:wrapSquare wrapText="bothSides"/>
                <wp:docPr id="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855" cy="1404620"/>
                        </a:xfrm>
                        <a:prstGeom prst="rect">
                          <a:avLst/>
                        </a:prstGeom>
                        <a:solidFill>
                          <a:srgbClr val="FFFFFF"/>
                        </a:solidFill>
                        <a:ln w="9525">
                          <a:solidFill>
                            <a:srgbClr val="000000"/>
                          </a:solidFill>
                          <a:miter lim="800000"/>
                          <a:headEnd/>
                          <a:tailEnd/>
                        </a:ln>
                      </wps:spPr>
                      <wps:txbx>
                        <w:txbxContent>
                          <w:p w14:paraId="7EB97FAF" w14:textId="77777777" w:rsidR="000A512E" w:rsidRPr="00EA1FF2" w:rsidRDefault="000A512E" w:rsidP="00EC6B0B">
                            <w:r w:rsidRPr="00EA1FF2">
                              <w:t xml:space="preserve">Tabel IIa.1.: Den såkaldte ’Bilag 5-%’, beregnet for de enkelte år siden 2010. </w:t>
                            </w:r>
                          </w:p>
                          <w:p w14:paraId="2D645DFA" w14:textId="77777777" w:rsidR="000A512E" w:rsidRPr="00EA1FF2" w:rsidRDefault="000A512E" w:rsidP="00EC6B0B">
                            <w:r w:rsidRPr="00EA1FF2">
                              <w:t xml:space="preserve">Omfatter de typer af husholdningsaffald, som er oplistet i Bilag 5 til den nationale ressourceplan fra 2014*, og som kommunerne efter denne skal indsamle 50 % af med henblik på genanvendelse senest i 2022. </w:t>
                            </w:r>
                          </w:p>
                          <w:p w14:paraId="7E760DF8" w14:textId="77777777" w:rsidR="000A512E" w:rsidRPr="00EA1FF2" w:rsidRDefault="000A512E" w:rsidP="00EC6B0B">
                            <w:r w:rsidRPr="00EA1FF2">
                              <w:t xml:space="preserve">Mængderne angivet dels i ton, dels i kg pr. husstand og i procent af alle. </w:t>
                            </w:r>
                          </w:p>
                          <w:p w14:paraId="1202CE3F" w14:textId="77777777" w:rsidR="000A512E" w:rsidRPr="00EA1FF2" w:rsidRDefault="000A512E" w:rsidP="00EC6B0B">
                            <w:r w:rsidRPr="00EA1FF2">
                              <w:t>Det ses, at kommunen indsamlede 52 % til genanvendelse i 2020 mod 2</w:t>
                            </w:r>
                            <w:r>
                              <w:t>3</w:t>
                            </w:r>
                            <w:r w:rsidRPr="00EA1FF2">
                              <w:t xml:space="preserve"> % i 2010.</w:t>
                            </w:r>
                          </w:p>
                          <w:p w14:paraId="10AEF0C6" w14:textId="77777777" w:rsidR="000A512E" w:rsidRPr="00EA1FF2" w:rsidRDefault="000A512E" w:rsidP="00EC6B0B">
                            <w:r w:rsidRPr="00EA1FF2">
                              <w:t>Bemærk også, hvordan papirmængderne toppede i 2011 med 1</w:t>
                            </w:r>
                            <w:r>
                              <w:t>11</w:t>
                            </w:r>
                            <w:r w:rsidRPr="00EA1FF2">
                              <w:t xml:space="preserve"> kg pr. husstand pr år (10 % af affaldsmængden), og siden da har været jævnt faldende til 6</w:t>
                            </w:r>
                            <w:r>
                              <w:t>8</w:t>
                            </w:r>
                            <w:r w:rsidRPr="00EA1FF2">
                              <w:t xml:space="preserve"> kg i 2020 (</w:t>
                            </w:r>
                            <w:r>
                              <w:t>6</w:t>
                            </w:r>
                            <w:r w:rsidRPr="00EA1FF2">
                              <w:t xml:space="preserve"> % af affaldsmængden). Det skyldes faldende forsyningsmængder (først og fremmest færre aviser).</w:t>
                            </w:r>
                          </w:p>
                          <w:p w14:paraId="2257A403" w14:textId="77777777" w:rsidR="000A512E" w:rsidRPr="005673AA" w:rsidRDefault="000A512E" w:rsidP="00EC6B0B">
                            <w:r w:rsidRPr="005673AA">
                              <w:t>*) Danmark uden affald, Ressourceplan for affaldshåndtering 2013-2018. Vejledning fra Miljøstyrelsen nr. 4, 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48D76E" id="Tekstfelt 2" o:spid="_x0000_s1030" type="#_x0000_t202" style="position:absolute;margin-left:0;margin-top:.4pt;width:438.6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">
                <v:textbox style="mso-fit-shape-to-text:t">
                  <w:txbxContent>
                    <w:p w14:paraId="7EB97FAF" w14:textId="77777777" w:rsidR="000A512E" w:rsidRPr="00EA1FF2" w:rsidRDefault="000A512E" w:rsidP="00EC6B0B">
                      <w:r w:rsidRPr="00EA1FF2">
                        <w:t xml:space="preserve">Tabel IIa.1.: Den såkaldte ’Bilag 5-%’, beregnet for de enkelte år siden 2010. </w:t>
                      </w:r>
                    </w:p>
                    <w:p w14:paraId="2D645DFA" w14:textId="77777777" w:rsidR="000A512E" w:rsidRPr="00EA1FF2" w:rsidRDefault="000A512E" w:rsidP="00EC6B0B">
                      <w:r w:rsidRPr="00EA1FF2">
                        <w:t xml:space="preserve">Omfatter de typer af husholdningsaffald, som er oplistet i Bilag 5 til den nationale ressourceplan fra 2014*, og som kommunerne efter denne skal indsamle 50 % af med henblik på genanvendelse senest i 2022. </w:t>
                      </w:r>
                    </w:p>
                    <w:p w14:paraId="7E760DF8" w14:textId="77777777" w:rsidR="000A512E" w:rsidRPr="00EA1FF2" w:rsidRDefault="000A512E" w:rsidP="00EC6B0B">
                      <w:r w:rsidRPr="00EA1FF2">
                        <w:t xml:space="preserve">Mængderne angivet dels i ton, dels i kg pr. husstand og i procent af alle. </w:t>
                      </w:r>
                    </w:p>
                    <w:p w14:paraId="1202CE3F" w14:textId="77777777" w:rsidR="000A512E" w:rsidRPr="00EA1FF2" w:rsidRDefault="000A512E" w:rsidP="00EC6B0B">
                      <w:r w:rsidRPr="00EA1FF2">
                        <w:t>Det ses, at kommunen indsamlede 52 % til genanvendelse i 2020 mod 2</w:t>
                      </w:r>
                      <w:r>
                        <w:t>3</w:t>
                      </w:r>
                      <w:r w:rsidRPr="00EA1FF2">
                        <w:t xml:space="preserve"> % i 2010.</w:t>
                      </w:r>
                    </w:p>
                    <w:p w14:paraId="10AEF0C6" w14:textId="77777777" w:rsidR="000A512E" w:rsidRPr="00EA1FF2" w:rsidRDefault="000A512E" w:rsidP="00EC6B0B">
                      <w:r w:rsidRPr="00EA1FF2">
                        <w:t>Bemærk også, hvordan papirmængderne toppede i 2011 med 1</w:t>
                      </w:r>
                      <w:r>
                        <w:t>11</w:t>
                      </w:r>
                      <w:r w:rsidRPr="00EA1FF2">
                        <w:t xml:space="preserve"> kg pr. husstand pr år (10 % af affaldsmængden), og siden da har været jævnt faldende til 6</w:t>
                      </w:r>
                      <w:r>
                        <w:t>8</w:t>
                      </w:r>
                      <w:r w:rsidRPr="00EA1FF2">
                        <w:t xml:space="preserve"> kg i 2020 (</w:t>
                      </w:r>
                      <w:r>
                        <w:t>6</w:t>
                      </w:r>
                      <w:r w:rsidRPr="00EA1FF2">
                        <w:t xml:space="preserve"> % af affaldsmængden). Det skyldes faldende forsyningsmængder (først og fremmest færre aviser).</w:t>
                      </w:r>
                    </w:p>
                    <w:p w14:paraId="2257A403" w14:textId="77777777" w:rsidR="000A512E" w:rsidRPr="005673AA" w:rsidRDefault="000A512E" w:rsidP="00EC6B0B">
                      <w:r w:rsidRPr="005673AA">
                        <w:t>*) Danmark uden affald, Ressourceplan for affaldshåndtering 2013-2018. Vejledning fra Miljøstyrelsen nr. 4, 2014.</w:t>
                      </w:r>
                    </w:p>
                  </w:txbxContent>
                </v:textbox>
                <w10:wrap type="square" anchorx="margin"/>
              </v:shape>
            </w:pict>
          </mc:Fallback>
        </mc:AlternateContent>
      </w:r>
    </w:p>
    <w:p w14:paraId="644A9527" w14:textId="228EAB01" w:rsidR="00EC6B0B" w:rsidRDefault="00EC6B0B" w:rsidP="00EC6B0B">
      <w:r w:rsidRPr="005C6EE6">
        <w:rPr>
          <w:noProof/>
        </w:rPr>
        <w:t xml:space="preserve"> </w:t>
      </w:r>
      <w:r w:rsidRPr="005C6EE6">
        <w:br/>
      </w:r>
    </w:p>
    <w:p w14:paraId="3EAF76BD" w14:textId="77777777" w:rsidR="00383DEB" w:rsidRDefault="00383DEB" w:rsidP="00383DEB"/>
    <w:p w14:paraId="7E163B81" w14:textId="77777777" w:rsidR="00451C4D" w:rsidRDefault="00451C4D" w:rsidP="00383DEB"/>
    <w:p w14:paraId="2EEB834F" w14:textId="77777777" w:rsidR="00451C4D" w:rsidRDefault="00451C4D" w:rsidP="00383DEB"/>
    <w:p w14:paraId="0DEC0C90" w14:textId="77777777" w:rsidR="00451C4D" w:rsidRDefault="00451C4D" w:rsidP="00383DEB"/>
    <w:p w14:paraId="347FAC60" w14:textId="77777777" w:rsidR="00451C4D" w:rsidRDefault="00451C4D" w:rsidP="00383DEB"/>
    <w:p w14:paraId="4AD6512E" w14:textId="77777777" w:rsidR="00451C4D" w:rsidRDefault="00451C4D" w:rsidP="00383DEB"/>
    <w:p w14:paraId="4D1B54CC" w14:textId="77777777" w:rsidR="00451C4D" w:rsidRDefault="00451C4D" w:rsidP="00383DEB"/>
    <w:p w14:paraId="24396D86" w14:textId="5C708CB7" w:rsidR="00A14BFB" w:rsidRDefault="00A14BFB" w:rsidP="00383DEB"/>
    <w:p w14:paraId="2E556F3B" w14:textId="77777777" w:rsidR="001E6A1B" w:rsidRDefault="003F6914" w:rsidP="00383DEB">
      <w:r>
        <w:rPr>
          <w:noProof/>
        </w:rPr>
        <w:drawing>
          <wp:inline distT="0" distB="0" distL="0" distR="0" wp14:anchorId="76CA4089" wp14:editId="54E7685C">
            <wp:extent cx="5665282" cy="2249536"/>
            <wp:effectExtent l="0" t="0" r="0" b="0"/>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48323" cy="2282509"/>
                    </a:xfrm>
                    <a:prstGeom prst="rect">
                      <a:avLst/>
                    </a:prstGeom>
                  </pic:spPr>
                </pic:pic>
              </a:graphicData>
            </a:graphic>
          </wp:inline>
        </w:drawing>
      </w:r>
    </w:p>
    <w:p w14:paraId="38BE6C53" w14:textId="6A4D30C9" w:rsidR="00A14BFB" w:rsidRPr="00383DEB" w:rsidRDefault="005A15B5" w:rsidP="00383DEB">
      <w:pPr>
        <w:sectPr w:rsidR="00A14BFB" w:rsidRPr="00383DEB" w:rsidSect="00C01D48">
          <w:headerReference w:type="default" r:id="rId26"/>
          <w:footerReference w:type="default" r:id="rId27"/>
          <w:pgSz w:w="11906" w:h="16838" w:code="9"/>
          <w:pgMar w:top="2268" w:right="1134" w:bottom="1134" w:left="1134" w:header="709" w:footer="737" w:gutter="0"/>
          <w:cols w:space="708"/>
          <w:docGrid w:linePitch="360"/>
        </w:sectPr>
      </w:pPr>
      <w:r>
        <w:rPr>
          <w:noProof/>
        </w:rPr>
        <w:drawing>
          <wp:inline distT="0" distB="0" distL="0" distR="0" wp14:anchorId="688FB797" wp14:editId="6C82FE4F">
            <wp:extent cx="4818832" cy="2261421"/>
            <wp:effectExtent l="0" t="0" r="1270" b="5715"/>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847592" cy="2274918"/>
                    </a:xfrm>
                    <a:prstGeom prst="rect">
                      <a:avLst/>
                    </a:prstGeom>
                  </pic:spPr>
                </pic:pic>
              </a:graphicData>
            </a:graphic>
          </wp:inline>
        </w:drawing>
      </w:r>
    </w:p>
    <w:p w14:paraId="5DE659A1" w14:textId="2EB0FDE7" w:rsidR="00451C4D" w:rsidRPr="00D739A5" w:rsidRDefault="00451C4D" w:rsidP="00451C4D">
      <w:pPr>
        <w:suppressAutoHyphens w:val="0"/>
        <w:autoSpaceDN/>
        <w:spacing w:after="200" w:line="276" w:lineRule="auto"/>
        <w:textAlignment w:val="auto"/>
      </w:pPr>
      <w:r w:rsidRPr="00734304">
        <w:rPr>
          <w:b/>
          <w:bCs/>
          <w:sz w:val="28"/>
          <w:szCs w:val="28"/>
        </w:rPr>
        <w:lastRenderedPageBreak/>
        <w:t>Bilag IIb: De samlede mængder af indsamlet kommunalt affald samt Bygge- &amp; Anlægsaffald i referenceåret 2014 og i perioden 2017-2020 og den reelle genanvendelse heraf</w:t>
      </w:r>
    </w:p>
    <w:p w14:paraId="2B9380DA" w14:textId="2270BFDF" w:rsidR="00451C4D" w:rsidRPr="004559F0" w:rsidRDefault="00451C4D" w:rsidP="00383DEB">
      <w:pPr>
        <w:rPr>
          <w:i/>
          <w:iCs/>
        </w:rPr>
      </w:pPr>
      <w:r w:rsidRPr="00F97EC7">
        <w:rPr>
          <w:i/>
          <w:iCs/>
        </w:rPr>
        <w:t>Tabel IIb.1.: Indsamlet ’Kommunalt affald’ (dvs. husholdningsaffald og lignende affald fra andre kilder) samt ’Bygge- og anlægsaffald’ i 2014 (referenceåret, hvor den tidligere affaldsplan blev vedtaget) samt perioden 2017-2020. Opgjort i ton i alt, hvor mange ton (og %) heraf, der er indsamlet med henblik på genanvendelse (’Heraf GA’) og endelig hvor stor en del der reelt er genanvendt (Reel GA) – beregnet ud fra de standard-tabsfaktorer, som Miljøstyrelsen har anvendt i de seneste årlige affaldsstatistikker.</w:t>
      </w:r>
    </w:p>
    <w:p w14:paraId="106D0D3C" w14:textId="77777777" w:rsidR="00451C4D" w:rsidRDefault="00451C4D" w:rsidP="00383DEB">
      <w:r w:rsidRPr="005C6EE6">
        <w:rPr>
          <w:noProof/>
        </w:rPr>
        <w:drawing>
          <wp:inline distT="0" distB="0" distL="0" distR="0" wp14:anchorId="7C1217AB" wp14:editId="0AE0A255">
            <wp:extent cx="8175009" cy="4288530"/>
            <wp:effectExtent l="0" t="0" r="0" b="0"/>
            <wp:docPr id="55" name="Billed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25879" cy="4367675"/>
                    </a:xfrm>
                    <a:prstGeom prst="rect">
                      <a:avLst/>
                    </a:prstGeom>
                    <a:noFill/>
                    <a:ln>
                      <a:noFill/>
                    </a:ln>
                  </pic:spPr>
                </pic:pic>
              </a:graphicData>
            </a:graphic>
          </wp:inline>
        </w:drawing>
      </w:r>
    </w:p>
    <w:p w14:paraId="047BCC8F" w14:textId="714D47D3" w:rsidR="00A14BFB" w:rsidRPr="00383DEB" w:rsidRDefault="00A14BFB" w:rsidP="00383DEB">
      <w:pPr>
        <w:sectPr w:rsidR="00A14BFB" w:rsidRPr="00383DEB" w:rsidSect="00383DEB">
          <w:pgSz w:w="16838" w:h="11906" w:orient="landscape" w:code="9"/>
          <w:pgMar w:top="1134" w:right="2268" w:bottom="1134" w:left="1134" w:header="709" w:footer="737" w:gutter="0"/>
          <w:cols w:space="708"/>
          <w:docGrid w:linePitch="360"/>
        </w:sectPr>
      </w:pPr>
    </w:p>
    <w:p w14:paraId="456CE478" w14:textId="4857AC81" w:rsidR="005C6EE6" w:rsidRPr="00734304" w:rsidRDefault="005C6EE6" w:rsidP="00734304">
      <w:pPr>
        <w:pStyle w:val="Overskrift4"/>
        <w:rPr>
          <w:rFonts w:ascii="Arial" w:hAnsi="Arial" w:cs="Arial"/>
        </w:rPr>
      </w:pPr>
      <w:bookmarkStart w:id="494" w:name="_Toc68611346"/>
      <w:bookmarkStart w:id="495" w:name="_Toc69216662"/>
      <w:bookmarkStart w:id="496" w:name="_Toc70950956"/>
      <w:bookmarkStart w:id="497" w:name="_Toc71191771"/>
      <w:bookmarkStart w:id="498" w:name="_Toc76126086"/>
      <w:bookmarkEnd w:id="490"/>
      <w:bookmarkEnd w:id="491"/>
      <w:bookmarkEnd w:id="492"/>
      <w:bookmarkEnd w:id="493"/>
      <w:r w:rsidRPr="00734304">
        <w:rPr>
          <w:rFonts w:ascii="Arial" w:hAnsi="Arial" w:cs="Arial"/>
        </w:rPr>
        <w:lastRenderedPageBreak/>
        <w:t>Bilag IIc: Indsamlede mængder på genbrugspladser i referenceåret 2014 og i perioden 2017-2020</w:t>
      </w:r>
      <w:bookmarkEnd w:id="494"/>
      <w:bookmarkEnd w:id="495"/>
      <w:bookmarkEnd w:id="496"/>
      <w:r w:rsidRPr="00734304">
        <w:rPr>
          <w:rFonts w:ascii="Arial" w:hAnsi="Arial" w:cs="Arial"/>
        </w:rPr>
        <w:t xml:space="preserve"> og den reelle genanvendelse heraf</w:t>
      </w:r>
      <w:bookmarkEnd w:id="497"/>
      <w:bookmarkEnd w:id="498"/>
    </w:p>
    <w:p w14:paraId="7D85A3BC" w14:textId="77777777" w:rsidR="005C6EE6" w:rsidRPr="005C6EE6" w:rsidRDefault="005C6EE6" w:rsidP="005C6EE6"/>
    <w:p w14:paraId="0AE762D4" w14:textId="77777777" w:rsidR="005C6EE6" w:rsidRPr="00A14BFB" w:rsidRDefault="005C6EE6" w:rsidP="005C6EE6">
      <w:pPr>
        <w:rPr>
          <w:i/>
          <w:iCs/>
        </w:rPr>
      </w:pPr>
      <w:r w:rsidRPr="00A14BFB">
        <w:rPr>
          <w:i/>
          <w:iCs/>
        </w:rPr>
        <w:t>Tabel IIc.1.: Indsamlede mængder på genbrugspladserne i 2014 samt perioden 2017-2020 opdelt i ’Kommunalt affald’ og ’Bygge- og anlægsaffald’ (som har hver sit genanvendelsesmål). Opgjort i ton indsamlet og ton reelt genanvendt (beregnet ud fra de anførte generelle tabsrater) og med beregning af hvor mange procent, der er indsamlet med henblik på genanvendelse og hvor mange procent, der er reelt genanvendt.</w:t>
      </w:r>
    </w:p>
    <w:p w14:paraId="165C8AD4" w14:textId="77777777" w:rsidR="00A14BFB" w:rsidRDefault="005C6EE6" w:rsidP="005C6EE6">
      <w:pPr>
        <w:rPr>
          <w:rFonts w:ascii="Verdana" w:hAnsi="Verdana"/>
        </w:rPr>
      </w:pPr>
      <w:r w:rsidRPr="005C6EE6">
        <w:rPr>
          <w:noProof/>
        </w:rPr>
        <w:drawing>
          <wp:inline distT="0" distB="0" distL="0" distR="0" wp14:anchorId="0B728922" wp14:editId="44039267">
            <wp:extent cx="6120130" cy="6177915"/>
            <wp:effectExtent l="0" t="0" r="0" b="0"/>
            <wp:docPr id="57" name="Bille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6177915"/>
                    </a:xfrm>
                    <a:prstGeom prst="rect">
                      <a:avLst/>
                    </a:prstGeom>
                    <a:noFill/>
                    <a:ln>
                      <a:noFill/>
                    </a:ln>
                  </pic:spPr>
                </pic:pic>
              </a:graphicData>
            </a:graphic>
          </wp:inline>
        </w:drawing>
      </w:r>
      <w:bookmarkStart w:id="499" w:name="_Toc69216663"/>
      <w:bookmarkStart w:id="500" w:name="_Toc70950957"/>
      <w:bookmarkStart w:id="501" w:name="_Toc71191772"/>
      <w:bookmarkStart w:id="502" w:name="_Toc68611347"/>
    </w:p>
    <w:p w14:paraId="6D4AE6CB" w14:textId="77777777" w:rsidR="00A14BFB" w:rsidRDefault="00A14BFB">
      <w:pPr>
        <w:suppressAutoHyphens w:val="0"/>
        <w:autoSpaceDN/>
        <w:spacing w:after="200" w:line="276" w:lineRule="auto"/>
        <w:textAlignment w:val="auto"/>
        <w:rPr>
          <w:rFonts w:ascii="Verdana" w:hAnsi="Verdana"/>
        </w:rPr>
      </w:pPr>
      <w:r>
        <w:rPr>
          <w:rFonts w:ascii="Verdana" w:hAnsi="Verdana"/>
        </w:rPr>
        <w:br w:type="page"/>
      </w:r>
    </w:p>
    <w:p w14:paraId="13CC2F0F" w14:textId="7746AC3F" w:rsidR="005C6EE6" w:rsidRPr="00A14BFB" w:rsidRDefault="005C6EE6" w:rsidP="005C6EE6">
      <w:pPr>
        <w:rPr>
          <w:rFonts w:ascii="Verdana" w:hAnsi="Verdana"/>
          <w:i/>
          <w:iCs/>
        </w:rPr>
      </w:pPr>
      <w:r w:rsidRPr="00A14BFB">
        <w:rPr>
          <w:i/>
          <w:iCs/>
        </w:rPr>
        <w:lastRenderedPageBreak/>
        <w:t>Tabel IIc.2.: Aggregerede mængder i ton, indsamlet på genbrugspladserne 2014 og i perioden 2017-2020:</w:t>
      </w:r>
    </w:p>
    <w:p w14:paraId="1B361849" w14:textId="77777777" w:rsidR="005C6EE6" w:rsidRPr="005C6EE6" w:rsidRDefault="005C6EE6" w:rsidP="005C6EE6">
      <w:pPr>
        <w:rPr>
          <w:rFonts w:ascii="Verdana" w:hAnsi="Verdana"/>
        </w:rPr>
      </w:pPr>
      <w:r w:rsidRPr="005C6EE6">
        <w:rPr>
          <w:noProof/>
        </w:rPr>
        <w:drawing>
          <wp:inline distT="0" distB="0" distL="0" distR="0" wp14:anchorId="581443F8" wp14:editId="1C807709">
            <wp:extent cx="5270500" cy="2019300"/>
            <wp:effectExtent l="0" t="0" r="6350" b="0"/>
            <wp:docPr id="58" name="Billed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0" cy="2019300"/>
                    </a:xfrm>
                    <a:prstGeom prst="rect">
                      <a:avLst/>
                    </a:prstGeom>
                    <a:noFill/>
                    <a:ln>
                      <a:noFill/>
                    </a:ln>
                  </pic:spPr>
                </pic:pic>
              </a:graphicData>
            </a:graphic>
          </wp:inline>
        </w:drawing>
      </w:r>
    </w:p>
    <w:p w14:paraId="054E6717" w14:textId="77777777" w:rsidR="005C6EE6" w:rsidRPr="00A14BFB" w:rsidRDefault="005C6EE6" w:rsidP="005C6EE6">
      <w:pPr>
        <w:rPr>
          <w:i/>
          <w:iCs/>
        </w:rPr>
      </w:pPr>
      <w:r w:rsidRPr="005C6EE6">
        <w:br/>
        <w:t xml:space="preserve"> </w:t>
      </w:r>
      <w:r w:rsidRPr="00A14BFB">
        <w:rPr>
          <w:i/>
          <w:iCs/>
        </w:rPr>
        <w:t>Figur IIc.1.: Grafisk gengivelse af Tabel IIc.2.</w:t>
      </w:r>
    </w:p>
    <w:p w14:paraId="2BD5842B" w14:textId="77777777" w:rsidR="005C6EE6" w:rsidRPr="005C6EE6" w:rsidRDefault="005C6EE6" w:rsidP="005C6EE6">
      <w:pPr>
        <w:rPr>
          <w:rFonts w:ascii="Verdana" w:hAnsi="Verdana"/>
        </w:rPr>
      </w:pPr>
      <w:r w:rsidRPr="005C6EE6">
        <w:rPr>
          <w:noProof/>
        </w:rPr>
        <w:drawing>
          <wp:inline distT="0" distB="0" distL="0" distR="0" wp14:anchorId="07634401" wp14:editId="06348287">
            <wp:extent cx="4572000" cy="3143250"/>
            <wp:effectExtent l="0" t="0" r="0" b="0"/>
            <wp:docPr id="59" name="Diagram 59">
              <a:extLst xmlns:a="http://schemas.openxmlformats.org/drawingml/2006/main">
                <a:ext uri="{FF2B5EF4-FFF2-40B4-BE49-F238E27FC236}">
                  <a16:creationId xmlns:a16="http://schemas.microsoft.com/office/drawing/2014/main" id="{9311E4C2-683C-46C6-90FE-DBB964D5AE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93C42E8" w14:textId="77777777" w:rsidR="005C6EE6" w:rsidRPr="005C6EE6" w:rsidRDefault="005C6EE6" w:rsidP="005C6EE6"/>
    <w:p w14:paraId="57DF9D97" w14:textId="77777777" w:rsidR="005C6EE6" w:rsidRPr="00A14BFB" w:rsidRDefault="005C6EE6" w:rsidP="005C6EE6">
      <w:pPr>
        <w:rPr>
          <w:i/>
          <w:iCs/>
        </w:rPr>
      </w:pPr>
      <w:r w:rsidRPr="00A14BFB">
        <w:rPr>
          <w:i/>
          <w:iCs/>
        </w:rPr>
        <w:t>Tabel IIc.3.: Indsamlede genbrugspladsmængder i ton i 2014 og perioden 2017-2020 opdelt på behandlingsform, og udviklingen i perioden 2014-2020 i ton og %.</w:t>
      </w:r>
    </w:p>
    <w:p w14:paraId="38AD857E" w14:textId="53B6D62E" w:rsidR="00A14BFB" w:rsidRDefault="005C6EE6" w:rsidP="005C6EE6">
      <w:pPr>
        <w:rPr>
          <w:rFonts w:ascii="Verdana" w:hAnsi="Verdana"/>
        </w:rPr>
      </w:pPr>
      <w:r w:rsidRPr="005C6EE6">
        <w:rPr>
          <w:noProof/>
        </w:rPr>
        <w:drawing>
          <wp:inline distT="0" distB="0" distL="0" distR="0" wp14:anchorId="2780364F" wp14:editId="7CB03030">
            <wp:extent cx="6120130" cy="1175385"/>
            <wp:effectExtent l="0" t="0" r="0" b="5715"/>
            <wp:docPr id="60" name="Billed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1175385"/>
                    </a:xfrm>
                    <a:prstGeom prst="rect">
                      <a:avLst/>
                    </a:prstGeom>
                    <a:noFill/>
                    <a:ln>
                      <a:noFill/>
                    </a:ln>
                  </pic:spPr>
                </pic:pic>
              </a:graphicData>
            </a:graphic>
          </wp:inline>
        </w:drawing>
      </w:r>
    </w:p>
    <w:p w14:paraId="02B34B03" w14:textId="3AEDB5CF" w:rsidR="005C6EE6" w:rsidRPr="00A14BFB" w:rsidRDefault="00A14BFB" w:rsidP="00A14BFB">
      <w:pPr>
        <w:suppressAutoHyphens w:val="0"/>
        <w:autoSpaceDN/>
        <w:spacing w:after="200" w:line="276" w:lineRule="auto"/>
        <w:textAlignment w:val="auto"/>
        <w:rPr>
          <w:rFonts w:ascii="Verdana" w:hAnsi="Verdana"/>
        </w:rPr>
      </w:pPr>
      <w:r>
        <w:rPr>
          <w:rFonts w:ascii="Verdana" w:hAnsi="Verdana"/>
        </w:rPr>
        <w:br w:type="page"/>
      </w:r>
      <w:r w:rsidR="005C6EE6" w:rsidRPr="00A14BFB">
        <w:rPr>
          <w:i/>
          <w:iCs/>
        </w:rPr>
        <w:lastRenderedPageBreak/>
        <w:t>Figur IIc.2.: Grafisk gengivelse af Tabel Ic.3.</w:t>
      </w:r>
    </w:p>
    <w:p w14:paraId="33516305" w14:textId="77777777" w:rsidR="005C6EE6" w:rsidRPr="005C6EE6" w:rsidRDefault="005C6EE6" w:rsidP="005C6EE6">
      <w:pPr>
        <w:rPr>
          <w:rFonts w:ascii="Verdana" w:hAnsi="Verdana"/>
        </w:rPr>
      </w:pPr>
      <w:r w:rsidRPr="005C6EE6">
        <w:rPr>
          <w:noProof/>
        </w:rPr>
        <w:drawing>
          <wp:inline distT="0" distB="0" distL="0" distR="0" wp14:anchorId="0E35AA2F" wp14:editId="3BCE9395">
            <wp:extent cx="4572000" cy="2990846"/>
            <wp:effectExtent l="0" t="0" r="0" b="635"/>
            <wp:docPr id="61" name="Diagram 61">
              <a:extLst xmlns:a="http://schemas.openxmlformats.org/drawingml/2006/main">
                <a:ext uri="{FF2B5EF4-FFF2-40B4-BE49-F238E27FC236}">
                  <a16:creationId xmlns:a16="http://schemas.microsoft.com/office/drawing/2014/main" id="{C576AC13-69C2-4E8C-9E5F-2362E5D975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45081BF" w14:textId="77777777" w:rsidR="005C6EE6" w:rsidRPr="00A14BFB" w:rsidRDefault="005C6EE6" w:rsidP="005C6EE6">
      <w:pPr>
        <w:rPr>
          <w:i/>
          <w:iCs/>
        </w:rPr>
      </w:pPr>
      <w:r w:rsidRPr="005C6EE6">
        <w:t xml:space="preserve"> </w:t>
      </w:r>
      <w:r w:rsidRPr="005C6EE6">
        <w:br/>
      </w:r>
      <w:r w:rsidRPr="00A14BFB">
        <w:rPr>
          <w:i/>
          <w:iCs/>
        </w:rPr>
        <w:t>Tabel IIc.4.: Indsamlede genbrugspladsmængder i kg/husstand/år i 2014 og perioden 2017-2020 opdelt på behandlingsform.</w:t>
      </w:r>
    </w:p>
    <w:p w14:paraId="2F8E5F71" w14:textId="77777777" w:rsidR="005C6EE6" w:rsidRPr="005C6EE6" w:rsidRDefault="005C6EE6" w:rsidP="005C6EE6">
      <w:pPr>
        <w:rPr>
          <w:rFonts w:ascii="Verdana" w:hAnsi="Verdana"/>
        </w:rPr>
      </w:pPr>
      <w:r w:rsidRPr="005C6EE6">
        <w:rPr>
          <w:noProof/>
        </w:rPr>
        <w:drawing>
          <wp:inline distT="0" distB="0" distL="0" distR="0" wp14:anchorId="7F00920B" wp14:editId="53EFA4CF">
            <wp:extent cx="6120130" cy="1175385"/>
            <wp:effectExtent l="0" t="0" r="0" b="5715"/>
            <wp:docPr id="62" name="Billed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130" cy="1175385"/>
                    </a:xfrm>
                    <a:prstGeom prst="rect">
                      <a:avLst/>
                    </a:prstGeom>
                    <a:noFill/>
                    <a:ln>
                      <a:noFill/>
                    </a:ln>
                  </pic:spPr>
                </pic:pic>
              </a:graphicData>
            </a:graphic>
          </wp:inline>
        </w:drawing>
      </w:r>
    </w:p>
    <w:p w14:paraId="0E8DA19E" w14:textId="77777777" w:rsidR="00D739A5" w:rsidRDefault="00D739A5" w:rsidP="005C6EE6"/>
    <w:p w14:paraId="793FD159" w14:textId="77777777" w:rsidR="00D739A5" w:rsidRDefault="00D739A5" w:rsidP="005C6EE6"/>
    <w:p w14:paraId="1860B8AA" w14:textId="77777777" w:rsidR="00D739A5" w:rsidRDefault="00D739A5" w:rsidP="005C6EE6"/>
    <w:p w14:paraId="78B22636" w14:textId="77777777" w:rsidR="00D739A5" w:rsidRDefault="00D739A5" w:rsidP="005C6EE6"/>
    <w:p w14:paraId="3838CEEF" w14:textId="77777777" w:rsidR="00D739A5" w:rsidRDefault="00D739A5" w:rsidP="005C6EE6"/>
    <w:p w14:paraId="7BBCEB8E" w14:textId="77777777" w:rsidR="00D739A5" w:rsidRDefault="00D739A5" w:rsidP="005C6EE6"/>
    <w:p w14:paraId="4BD52BDF" w14:textId="77777777" w:rsidR="00A14BFB" w:rsidRDefault="00A14BFB">
      <w:pPr>
        <w:suppressAutoHyphens w:val="0"/>
        <w:autoSpaceDN/>
        <w:spacing w:after="200" w:line="276" w:lineRule="auto"/>
        <w:textAlignment w:val="auto"/>
      </w:pPr>
      <w:r>
        <w:br w:type="page"/>
      </w:r>
    </w:p>
    <w:p w14:paraId="03F050D7" w14:textId="4C64A32F" w:rsidR="005C6EE6" w:rsidRPr="00A14BFB" w:rsidRDefault="005C6EE6" w:rsidP="005C6EE6">
      <w:pPr>
        <w:rPr>
          <w:i/>
          <w:iCs/>
        </w:rPr>
      </w:pPr>
      <w:r w:rsidRPr="00A14BFB">
        <w:rPr>
          <w:i/>
          <w:iCs/>
        </w:rPr>
        <w:lastRenderedPageBreak/>
        <w:t>Figur IIc.3.: Grafisk gengivelse af Tabel IIc.4.</w:t>
      </w:r>
    </w:p>
    <w:p w14:paraId="3559F2F7" w14:textId="77777777" w:rsidR="005C6EE6" w:rsidRPr="005C6EE6" w:rsidRDefault="005C6EE6" w:rsidP="005C6EE6">
      <w:pPr>
        <w:rPr>
          <w:rFonts w:ascii="Verdana" w:hAnsi="Verdana"/>
        </w:rPr>
      </w:pPr>
      <w:r w:rsidRPr="005C6EE6">
        <w:rPr>
          <w:noProof/>
        </w:rPr>
        <w:drawing>
          <wp:inline distT="0" distB="0" distL="0" distR="0" wp14:anchorId="2B9279EF" wp14:editId="2D5C8C68">
            <wp:extent cx="4572000" cy="2743200"/>
            <wp:effectExtent l="0" t="0" r="0" b="0"/>
            <wp:docPr id="63" name="Diagram 63">
              <a:extLst xmlns:a="http://schemas.openxmlformats.org/drawingml/2006/main">
                <a:ext uri="{FF2B5EF4-FFF2-40B4-BE49-F238E27FC236}">
                  <a16:creationId xmlns:a16="http://schemas.microsoft.com/office/drawing/2014/main" id="{41793546-88E5-42C1-867E-91374AFE4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BEF544F" w14:textId="77777777" w:rsidR="00A14BFB" w:rsidRDefault="00A14BFB" w:rsidP="005C6EE6">
      <w:pPr>
        <w:rPr>
          <w:i/>
          <w:iCs/>
        </w:rPr>
      </w:pPr>
    </w:p>
    <w:p w14:paraId="56CAC3AC" w14:textId="0782525D" w:rsidR="005C6EE6" w:rsidRPr="00A14BFB" w:rsidRDefault="005C6EE6" w:rsidP="005C6EE6">
      <w:pPr>
        <w:rPr>
          <w:i/>
          <w:iCs/>
        </w:rPr>
      </w:pPr>
      <w:r w:rsidRPr="00A14BFB">
        <w:rPr>
          <w:i/>
          <w:iCs/>
        </w:rPr>
        <w:t>Figur IIc.4.: Fordelingen mellem husstands- og genbrugspladsindsamlet affald i kg/husstand/år i 2014 og i perioden 2017-2020.</w:t>
      </w:r>
    </w:p>
    <w:p w14:paraId="3BC18470" w14:textId="77777777" w:rsidR="005C6EE6" w:rsidRPr="005C6EE6" w:rsidRDefault="005C6EE6" w:rsidP="005C6EE6">
      <w:pPr>
        <w:rPr>
          <w:rFonts w:ascii="Verdana" w:hAnsi="Verdana"/>
        </w:rPr>
      </w:pPr>
      <w:r w:rsidRPr="005C6EE6">
        <w:rPr>
          <w:noProof/>
        </w:rPr>
        <w:drawing>
          <wp:inline distT="0" distB="0" distL="0" distR="0" wp14:anchorId="52834FAA" wp14:editId="12941D74">
            <wp:extent cx="4572000" cy="2743200"/>
            <wp:effectExtent l="0" t="0" r="0" b="0"/>
            <wp:docPr id="66" name="Diagram 66">
              <a:extLst xmlns:a="http://schemas.openxmlformats.org/drawingml/2006/main">
                <a:ext uri="{FF2B5EF4-FFF2-40B4-BE49-F238E27FC236}">
                  <a16:creationId xmlns:a16="http://schemas.microsoft.com/office/drawing/2014/main" id="{30F5F981-DC6D-45E7-ACAC-7EB77DF643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A028632" w14:textId="77777777" w:rsidR="005C6EE6" w:rsidRPr="005C6EE6" w:rsidRDefault="005C6EE6" w:rsidP="005C6EE6"/>
    <w:p w14:paraId="038C1EAB" w14:textId="77777777" w:rsidR="00D739A5" w:rsidRDefault="005C6EE6" w:rsidP="005C6EE6">
      <w:r w:rsidRPr="005C6EE6">
        <w:br/>
      </w:r>
    </w:p>
    <w:p w14:paraId="44636193" w14:textId="77777777" w:rsidR="00D739A5" w:rsidRDefault="00D739A5" w:rsidP="005C6EE6"/>
    <w:p w14:paraId="14199EB5" w14:textId="77777777" w:rsidR="00D739A5" w:rsidRDefault="00D739A5" w:rsidP="005C6EE6"/>
    <w:p w14:paraId="7623B848" w14:textId="77777777" w:rsidR="00D739A5" w:rsidRDefault="00D739A5" w:rsidP="005C6EE6"/>
    <w:p w14:paraId="1DE2E6E9" w14:textId="5361A847" w:rsidR="005C6EE6" w:rsidRPr="00A14BFB" w:rsidRDefault="005C6EE6" w:rsidP="005C6EE6">
      <w:pPr>
        <w:rPr>
          <w:i/>
          <w:iCs/>
        </w:rPr>
      </w:pPr>
      <w:r w:rsidRPr="00A14BFB">
        <w:rPr>
          <w:i/>
          <w:iCs/>
        </w:rPr>
        <w:lastRenderedPageBreak/>
        <w:t>Figur IIc.5.: Fordelingen mellem husstands- og genbrugspladsindsamlet affald til forbrænding i kg/husstand/år i 2014 og i perioden 2017-2020.</w:t>
      </w:r>
    </w:p>
    <w:p w14:paraId="24C13BB5" w14:textId="77777777" w:rsidR="005C6EE6" w:rsidRPr="005C6EE6" w:rsidRDefault="005C6EE6" w:rsidP="005C6EE6">
      <w:pPr>
        <w:rPr>
          <w:rFonts w:ascii="Verdana" w:hAnsi="Verdana"/>
        </w:rPr>
      </w:pPr>
      <w:r w:rsidRPr="005C6EE6">
        <w:rPr>
          <w:noProof/>
        </w:rPr>
        <w:drawing>
          <wp:inline distT="0" distB="0" distL="0" distR="0" wp14:anchorId="573AA5CF" wp14:editId="7FF7D8A7">
            <wp:extent cx="4572000" cy="2743200"/>
            <wp:effectExtent l="0" t="0" r="0" b="0"/>
            <wp:docPr id="65" name="Diagram 65">
              <a:extLst xmlns:a="http://schemas.openxmlformats.org/drawingml/2006/main">
                <a:ext uri="{FF2B5EF4-FFF2-40B4-BE49-F238E27FC236}">
                  <a16:creationId xmlns:a16="http://schemas.microsoft.com/office/drawing/2014/main" id="{76F9728A-DF3B-4569-8762-FFF1349C0B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41C5809" w14:textId="77777777" w:rsidR="005C6EE6" w:rsidRPr="005C6EE6" w:rsidRDefault="005C6EE6" w:rsidP="005C6EE6"/>
    <w:p w14:paraId="6FC0EE51" w14:textId="58BF6036" w:rsidR="005C6EE6" w:rsidRPr="00A14BFB" w:rsidRDefault="005C6EE6" w:rsidP="005C6EE6">
      <w:pPr>
        <w:rPr>
          <w:i/>
          <w:iCs/>
        </w:rPr>
      </w:pPr>
      <w:r w:rsidRPr="00A14BFB">
        <w:rPr>
          <w:i/>
          <w:iCs/>
        </w:rPr>
        <w:t>Figur IIc.6.: Fordelingen mellem husstands- og genbrugspladsindsamlet affald til forbrænding i kg/husstand/år i 2014 og i perioden 2017-2020 (samme som Figur II.c.5., men vist, så de husstandsindsamlede og genbrugspladsindsamlede mængder kan sammenlignes direkte).</w:t>
      </w:r>
    </w:p>
    <w:p w14:paraId="57838745" w14:textId="77777777" w:rsidR="005C6EE6" w:rsidRPr="005C6EE6" w:rsidRDefault="005C6EE6" w:rsidP="005C6EE6">
      <w:pPr>
        <w:rPr>
          <w:rFonts w:ascii="Verdana" w:hAnsi="Verdana"/>
        </w:rPr>
      </w:pPr>
      <w:r w:rsidRPr="005C6EE6">
        <w:rPr>
          <w:noProof/>
        </w:rPr>
        <w:drawing>
          <wp:inline distT="0" distB="0" distL="0" distR="0" wp14:anchorId="623F726E" wp14:editId="3715D83A">
            <wp:extent cx="4572000" cy="2743200"/>
            <wp:effectExtent l="0" t="0" r="0" b="0"/>
            <wp:docPr id="67" name="Diagram 67">
              <a:extLst xmlns:a="http://schemas.openxmlformats.org/drawingml/2006/main">
                <a:ext uri="{FF2B5EF4-FFF2-40B4-BE49-F238E27FC236}">
                  <a16:creationId xmlns:a16="http://schemas.microsoft.com/office/drawing/2014/main" id="{BD84A906-E5DF-44DB-A77D-544026DFAE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BE946FE" w14:textId="77777777" w:rsidR="005C6EE6" w:rsidRPr="005C6EE6" w:rsidRDefault="005C6EE6" w:rsidP="005C6EE6"/>
    <w:p w14:paraId="6F5571CF" w14:textId="2EABBA97" w:rsidR="005C6EE6" w:rsidRPr="005C6EE6" w:rsidRDefault="005C6EE6" w:rsidP="005C6EE6">
      <w:r w:rsidRPr="005C6EE6">
        <w:t xml:space="preserve">Det ses af figur IIc.5 &amp; 6, at selv om genbrugspladsmængderne til forbrænding er steget jævnt siden 2018, så betyder faldet i mængden af husstandsindsamlet affald til forbrænding i de samme år, at er den samlede mængde til forbrænding har været faldende – 2020 dog som en undtagelse, hvor både </w:t>
      </w:r>
      <w:r w:rsidR="0029088E">
        <w:t>GENBRUGSPLADS</w:t>
      </w:r>
      <w:r w:rsidRPr="005C6EE6">
        <w:t>- og husstandsmængden til forbrænding steg, formentlig som sideeffekt af corona-epedemien, hvor borgerne fik mere hjemmetid til oprydning og mindre ombygninger m.v.</w:t>
      </w:r>
    </w:p>
    <w:p w14:paraId="50E4C4F5" w14:textId="77777777" w:rsidR="005C6EE6" w:rsidRPr="00734304" w:rsidRDefault="005C6EE6" w:rsidP="00734304">
      <w:pPr>
        <w:rPr>
          <w:b/>
          <w:bCs/>
          <w:sz w:val="28"/>
          <w:szCs w:val="28"/>
        </w:rPr>
      </w:pPr>
      <w:bookmarkStart w:id="503" w:name="_Toc76126087"/>
      <w:r w:rsidRPr="00734304">
        <w:rPr>
          <w:b/>
          <w:bCs/>
          <w:sz w:val="28"/>
          <w:szCs w:val="28"/>
        </w:rPr>
        <w:lastRenderedPageBreak/>
        <w:t>Bilag IId: Metal genvundet fra forbrændingsslagge 2019 og 2020</w:t>
      </w:r>
      <w:bookmarkEnd w:id="499"/>
      <w:bookmarkEnd w:id="500"/>
      <w:bookmarkEnd w:id="501"/>
      <w:bookmarkEnd w:id="503"/>
      <w:r w:rsidRPr="00734304">
        <w:rPr>
          <w:b/>
          <w:bCs/>
          <w:sz w:val="28"/>
          <w:szCs w:val="28"/>
        </w:rPr>
        <w:t xml:space="preserve"> </w:t>
      </w:r>
      <w:bookmarkEnd w:id="502"/>
    </w:p>
    <w:p w14:paraId="7364C55D" w14:textId="77777777" w:rsidR="005C6EE6" w:rsidRPr="005C6EE6" w:rsidRDefault="005C6EE6" w:rsidP="005C6EE6">
      <w:r w:rsidRPr="005C6EE6">
        <w:br/>
        <w:t>Når forbrændingsslaggen fra AffaldPlus’ affaldsenergianlæg oparbejdes til anvendelse til bygge- og anlægsformål, sker der en samtidig udsortering af metaller fra slaggen.</w:t>
      </w:r>
    </w:p>
    <w:p w14:paraId="7BF4833B" w14:textId="5C887077" w:rsidR="005C6EE6" w:rsidRPr="005C6EE6" w:rsidRDefault="005C6EE6" w:rsidP="005C6EE6">
      <w:r w:rsidRPr="005C6EE6">
        <w:t>Metaller, der udsorteres til genanvendelse fra forbrændingsslagge fra forbrænding af kommunalt affald, kan medregnes i opfyldelsen af den fremtidige genanvendelsesprocent.</w:t>
      </w:r>
      <w:r w:rsidRPr="005C6EE6">
        <w:br/>
      </w:r>
      <w:r w:rsidRPr="005C6EE6">
        <w:br/>
        <w:t>Afatek, der ejes af AffaldPlus i fællesskab med de øvrige sjællandske og Lolland-Falsterske affaldsselskaber</w:t>
      </w:r>
      <w:r w:rsidR="00E51191">
        <w:t xml:space="preserve"> og</w:t>
      </w:r>
      <w:r w:rsidRPr="005C6EE6">
        <w:t xml:space="preserve"> håndterer AffaldPlus’ forbrændingsslagge, har for 2019 og 2020 opgjort mængderne af metaller, der er udsorteret fra forbrændingsslaggen. Mængderne fremgår af tabel IId-1 nedenfor.</w:t>
      </w:r>
    </w:p>
    <w:p w14:paraId="6E5B77C6" w14:textId="77777777" w:rsidR="005C6EE6" w:rsidRPr="00A14BFB" w:rsidRDefault="005C6EE6" w:rsidP="005C6EE6">
      <w:pPr>
        <w:rPr>
          <w:i/>
          <w:iCs/>
        </w:rPr>
      </w:pPr>
      <w:r w:rsidRPr="00A14BFB">
        <w:rPr>
          <w:i/>
          <w:iCs/>
        </w:rPr>
        <w:t>Tabel IId.1.: De behandlede mængder råslagge fra Slagelse (SAE) og Næstved (NAE) affaldsenergianlæg i 2019 og 2020 samt de udvundne mængder af ikke-magnetisk metal, jern og rustfrit stål fra slaggen. Alle tal er i ton/år.</w:t>
      </w:r>
    </w:p>
    <w:tbl>
      <w:tblPr>
        <w:tblW w:w="8593" w:type="dxa"/>
        <w:tblCellMar>
          <w:left w:w="10" w:type="dxa"/>
          <w:right w:w="10" w:type="dxa"/>
        </w:tblCellMar>
        <w:tblLook w:val="04A0" w:firstRow="1" w:lastRow="0" w:firstColumn="1" w:lastColumn="0" w:noHBand="0" w:noVBand="1"/>
      </w:tblPr>
      <w:tblGrid>
        <w:gridCol w:w="2240"/>
        <w:gridCol w:w="992"/>
        <w:gridCol w:w="996"/>
        <w:gridCol w:w="1237"/>
        <w:gridCol w:w="1002"/>
        <w:gridCol w:w="1130"/>
        <w:gridCol w:w="996"/>
      </w:tblGrid>
      <w:tr w:rsidR="005C6EE6" w:rsidRPr="005C6EE6" w14:paraId="0A9693E3" w14:textId="77777777" w:rsidTr="005C6EE6">
        <w:trPr>
          <w:trHeight w:val="288"/>
        </w:trPr>
        <w:tc>
          <w:tcPr>
            <w:tcW w:w="2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0EE52F" w14:textId="77777777" w:rsidR="005C6EE6" w:rsidRPr="005C6EE6" w:rsidRDefault="005C6EE6" w:rsidP="005C6EE6">
            <w:r w:rsidRPr="005C6EE6">
              <w:t>ton/år</w:t>
            </w:r>
          </w:p>
        </w:tc>
        <w:tc>
          <w:tcPr>
            <w:tcW w:w="322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7B1876" w14:textId="77777777" w:rsidR="005C6EE6" w:rsidRPr="005C6EE6" w:rsidRDefault="005C6EE6" w:rsidP="005C6EE6">
            <w:r w:rsidRPr="005C6EE6">
              <w:t>2019</w:t>
            </w:r>
          </w:p>
        </w:tc>
        <w:tc>
          <w:tcPr>
            <w:tcW w:w="312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663F48" w14:textId="77777777" w:rsidR="005C6EE6" w:rsidRPr="005C6EE6" w:rsidRDefault="005C6EE6" w:rsidP="005C6EE6">
            <w:r w:rsidRPr="005C6EE6">
              <w:t>2020</w:t>
            </w:r>
          </w:p>
        </w:tc>
      </w:tr>
      <w:tr w:rsidR="005C6EE6" w:rsidRPr="005C6EE6" w14:paraId="46AE3806" w14:textId="77777777" w:rsidTr="005C6EE6">
        <w:trPr>
          <w:trHeight w:val="288"/>
        </w:trPr>
        <w:tc>
          <w:tcPr>
            <w:tcW w:w="2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B42010" w14:textId="77777777" w:rsidR="005C6EE6" w:rsidRPr="005C6EE6" w:rsidRDefault="005C6EE6" w:rsidP="005C6EE6"/>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3EF349" w14:textId="77777777" w:rsidR="005C6EE6" w:rsidRPr="005C6EE6" w:rsidRDefault="005C6EE6" w:rsidP="005C6EE6">
            <w:r w:rsidRPr="005C6EE6">
              <w:t>SAE</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07F976" w14:textId="77777777" w:rsidR="005C6EE6" w:rsidRPr="005C6EE6" w:rsidRDefault="005C6EE6" w:rsidP="005C6EE6">
            <w:r w:rsidRPr="005C6EE6">
              <w:t>NAE</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F9D15A" w14:textId="77777777" w:rsidR="005C6EE6" w:rsidRPr="005C6EE6" w:rsidRDefault="005C6EE6" w:rsidP="005C6EE6">
            <w:r w:rsidRPr="005C6EE6">
              <w:t>I alt</w:t>
            </w:r>
          </w:p>
        </w:tc>
        <w:tc>
          <w:tcPr>
            <w:tcW w:w="10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E126FC" w14:textId="77777777" w:rsidR="005C6EE6" w:rsidRPr="005C6EE6" w:rsidRDefault="005C6EE6" w:rsidP="005C6EE6">
            <w:r w:rsidRPr="005C6EE6">
              <w:t>SAE</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A181B8" w14:textId="77777777" w:rsidR="005C6EE6" w:rsidRPr="005C6EE6" w:rsidRDefault="005C6EE6" w:rsidP="005C6EE6">
            <w:r w:rsidRPr="005C6EE6">
              <w:t>NAE</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FA2018" w14:textId="77777777" w:rsidR="005C6EE6" w:rsidRPr="005C6EE6" w:rsidRDefault="005C6EE6" w:rsidP="005C6EE6">
            <w:r w:rsidRPr="005C6EE6">
              <w:t>I alt</w:t>
            </w:r>
          </w:p>
        </w:tc>
      </w:tr>
      <w:tr w:rsidR="005C6EE6" w:rsidRPr="005C6EE6" w14:paraId="666A57EF" w14:textId="77777777" w:rsidTr="005C6EE6">
        <w:trPr>
          <w:trHeight w:val="288"/>
        </w:trPr>
        <w:tc>
          <w:tcPr>
            <w:tcW w:w="2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A80909" w14:textId="77777777" w:rsidR="005C6EE6" w:rsidRPr="005C6EE6" w:rsidRDefault="005C6EE6" w:rsidP="005C6EE6">
            <w:r w:rsidRPr="005C6EE6">
              <w:t>Behandlet slagge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D6F635A" w14:textId="77777777" w:rsidR="005C6EE6" w:rsidRPr="005C6EE6" w:rsidRDefault="005C6EE6" w:rsidP="005C6EE6">
            <w:r w:rsidRPr="005C6EE6">
              <w:t xml:space="preserve">        6.281 </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435FAB" w14:textId="77777777" w:rsidR="005C6EE6" w:rsidRPr="005C6EE6" w:rsidRDefault="005C6EE6" w:rsidP="005C6EE6">
            <w:r w:rsidRPr="005C6EE6">
              <w:t xml:space="preserve">     24.781 </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4B9F325" w14:textId="77777777" w:rsidR="005C6EE6" w:rsidRPr="005C6EE6" w:rsidRDefault="005C6EE6" w:rsidP="005C6EE6">
            <w:r w:rsidRPr="005C6EE6">
              <w:t xml:space="preserve">          31.062 </w:t>
            </w:r>
          </w:p>
        </w:tc>
        <w:tc>
          <w:tcPr>
            <w:tcW w:w="10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B1ABFA" w14:textId="77777777" w:rsidR="005C6EE6" w:rsidRPr="005C6EE6" w:rsidRDefault="005C6EE6" w:rsidP="005C6EE6">
            <w:r w:rsidRPr="005C6EE6">
              <w:t xml:space="preserve">        5.907 </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1F9858" w14:textId="77777777" w:rsidR="005C6EE6" w:rsidRPr="005C6EE6" w:rsidRDefault="005C6EE6" w:rsidP="005C6EE6">
            <w:r w:rsidRPr="005C6EE6">
              <w:t xml:space="preserve">        25.887 </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2451FF" w14:textId="77777777" w:rsidR="005C6EE6" w:rsidRPr="005C6EE6" w:rsidRDefault="005C6EE6" w:rsidP="005C6EE6">
            <w:r w:rsidRPr="005C6EE6">
              <w:t xml:space="preserve">    31.794 </w:t>
            </w:r>
          </w:p>
        </w:tc>
      </w:tr>
      <w:tr w:rsidR="005C6EE6" w:rsidRPr="005C6EE6" w14:paraId="56C82F33" w14:textId="77777777" w:rsidTr="005C6EE6">
        <w:trPr>
          <w:trHeight w:val="288"/>
        </w:trPr>
        <w:tc>
          <w:tcPr>
            <w:tcW w:w="2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BC63CA" w14:textId="77777777" w:rsidR="005C6EE6" w:rsidRPr="005C6EE6" w:rsidRDefault="005C6EE6" w:rsidP="005C6EE6">
            <w:r w:rsidRPr="005C6EE6">
              <w:t>Ikke-magnetisk</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4CE872" w14:textId="77777777" w:rsidR="005C6EE6" w:rsidRPr="005C6EE6" w:rsidRDefault="005C6EE6" w:rsidP="005C6EE6">
            <w:r w:rsidRPr="005C6EE6">
              <w:t xml:space="preserve">             90 </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7E0966" w14:textId="77777777" w:rsidR="005C6EE6" w:rsidRPr="005C6EE6" w:rsidRDefault="005C6EE6" w:rsidP="005C6EE6">
            <w:r w:rsidRPr="005C6EE6">
              <w:t xml:space="preserve">           356 </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3B596E" w14:textId="77777777" w:rsidR="005C6EE6" w:rsidRPr="005C6EE6" w:rsidRDefault="005C6EE6" w:rsidP="005C6EE6">
            <w:r w:rsidRPr="005C6EE6">
              <w:t xml:space="preserve">                446 </w:t>
            </w:r>
          </w:p>
        </w:tc>
        <w:tc>
          <w:tcPr>
            <w:tcW w:w="10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E2C6D2" w14:textId="77777777" w:rsidR="005C6EE6" w:rsidRPr="005C6EE6" w:rsidRDefault="005C6EE6" w:rsidP="005C6EE6">
            <w:r w:rsidRPr="005C6EE6">
              <w:t xml:space="preserve">           152 </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F25BDA" w14:textId="77777777" w:rsidR="005C6EE6" w:rsidRPr="005C6EE6" w:rsidRDefault="005C6EE6" w:rsidP="005C6EE6">
            <w:r w:rsidRPr="005C6EE6">
              <w:t xml:space="preserve">             665 </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BA93E2" w14:textId="77777777" w:rsidR="005C6EE6" w:rsidRPr="005C6EE6" w:rsidRDefault="005C6EE6" w:rsidP="005C6EE6">
            <w:r w:rsidRPr="005C6EE6">
              <w:t xml:space="preserve">          817 </w:t>
            </w:r>
          </w:p>
        </w:tc>
      </w:tr>
      <w:tr w:rsidR="005C6EE6" w:rsidRPr="005C6EE6" w14:paraId="7D7683B0" w14:textId="77777777" w:rsidTr="005C6EE6">
        <w:trPr>
          <w:trHeight w:val="288"/>
        </w:trPr>
        <w:tc>
          <w:tcPr>
            <w:tcW w:w="2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C79928" w14:textId="77777777" w:rsidR="005C6EE6" w:rsidRPr="005C6EE6" w:rsidRDefault="005C6EE6" w:rsidP="005C6EE6">
            <w:r w:rsidRPr="005C6EE6">
              <w:t>Jern</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4B875E" w14:textId="77777777" w:rsidR="005C6EE6" w:rsidRPr="005C6EE6" w:rsidRDefault="005C6EE6" w:rsidP="005C6EE6">
            <w:r w:rsidRPr="005C6EE6">
              <w:t xml:space="preserve">           227 </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951A4E" w14:textId="77777777" w:rsidR="005C6EE6" w:rsidRPr="005C6EE6" w:rsidRDefault="005C6EE6" w:rsidP="005C6EE6">
            <w:r w:rsidRPr="005C6EE6">
              <w:t xml:space="preserve">           896 </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1F179A" w14:textId="77777777" w:rsidR="005C6EE6" w:rsidRPr="005C6EE6" w:rsidRDefault="005C6EE6" w:rsidP="005C6EE6">
            <w:r w:rsidRPr="005C6EE6">
              <w:t xml:space="preserve">            1.123 </w:t>
            </w:r>
          </w:p>
        </w:tc>
        <w:tc>
          <w:tcPr>
            <w:tcW w:w="10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D92CC3" w14:textId="77777777" w:rsidR="005C6EE6" w:rsidRPr="005C6EE6" w:rsidRDefault="005C6EE6" w:rsidP="005C6EE6">
            <w:r w:rsidRPr="005C6EE6">
              <w:t xml:space="preserve">           371 </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970910" w14:textId="77777777" w:rsidR="005C6EE6" w:rsidRPr="005C6EE6" w:rsidRDefault="005C6EE6" w:rsidP="005C6EE6">
            <w:r w:rsidRPr="005C6EE6">
              <w:t xml:space="preserve">          1.628 </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D436495" w14:textId="77777777" w:rsidR="005C6EE6" w:rsidRPr="005C6EE6" w:rsidRDefault="005C6EE6" w:rsidP="005C6EE6">
            <w:r w:rsidRPr="005C6EE6">
              <w:t xml:space="preserve">       1.999 </w:t>
            </w:r>
          </w:p>
        </w:tc>
      </w:tr>
      <w:tr w:rsidR="005C6EE6" w:rsidRPr="005C6EE6" w14:paraId="35E126E6" w14:textId="77777777" w:rsidTr="005C6EE6">
        <w:trPr>
          <w:trHeight w:val="288"/>
        </w:trPr>
        <w:tc>
          <w:tcPr>
            <w:tcW w:w="2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A6F5CB" w14:textId="77777777" w:rsidR="005C6EE6" w:rsidRPr="005C6EE6" w:rsidRDefault="005C6EE6" w:rsidP="005C6EE6">
            <w:r w:rsidRPr="005C6EE6">
              <w:t>Rustfrit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303428" w14:textId="77777777" w:rsidR="005C6EE6" w:rsidRPr="005C6EE6" w:rsidRDefault="005C6EE6" w:rsidP="005C6EE6">
            <w:r w:rsidRPr="005C6EE6">
              <w:t xml:space="preserve">             12 </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4D99FA" w14:textId="77777777" w:rsidR="005C6EE6" w:rsidRPr="005C6EE6" w:rsidRDefault="005C6EE6" w:rsidP="005C6EE6">
            <w:r w:rsidRPr="005C6EE6">
              <w:t xml:space="preserve">             46 </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18F58B" w14:textId="77777777" w:rsidR="005C6EE6" w:rsidRPr="005C6EE6" w:rsidRDefault="005C6EE6" w:rsidP="005C6EE6">
            <w:r w:rsidRPr="005C6EE6">
              <w:t xml:space="preserve">                  58 </w:t>
            </w:r>
          </w:p>
        </w:tc>
        <w:tc>
          <w:tcPr>
            <w:tcW w:w="10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90BAA6" w14:textId="77777777" w:rsidR="005C6EE6" w:rsidRPr="005C6EE6" w:rsidRDefault="005C6EE6" w:rsidP="005C6EE6">
            <w:r w:rsidRPr="005C6EE6">
              <w:t xml:space="preserve">             16 </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1555462" w14:textId="77777777" w:rsidR="005C6EE6" w:rsidRPr="005C6EE6" w:rsidRDefault="005C6EE6" w:rsidP="005C6EE6">
            <w:r w:rsidRPr="005C6EE6">
              <w:t xml:space="preserve">                68 </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1932AE2" w14:textId="77777777" w:rsidR="005C6EE6" w:rsidRPr="005C6EE6" w:rsidRDefault="005C6EE6" w:rsidP="005C6EE6">
            <w:r w:rsidRPr="005C6EE6">
              <w:t xml:space="preserve">            84 </w:t>
            </w:r>
          </w:p>
        </w:tc>
      </w:tr>
      <w:tr w:rsidR="005C6EE6" w:rsidRPr="005C6EE6" w14:paraId="0A44FA81" w14:textId="77777777" w:rsidTr="005C6EE6">
        <w:trPr>
          <w:trHeight w:val="288"/>
        </w:trPr>
        <w:tc>
          <w:tcPr>
            <w:tcW w:w="2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9E16B4" w14:textId="77777777" w:rsidR="005C6EE6" w:rsidRPr="005C6EE6" w:rsidRDefault="005C6EE6" w:rsidP="005C6EE6">
            <w:r w:rsidRPr="005C6EE6">
              <w:t>I alt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D9C65D" w14:textId="77777777" w:rsidR="005C6EE6" w:rsidRPr="005C6EE6" w:rsidRDefault="005C6EE6" w:rsidP="005C6EE6">
            <w:r w:rsidRPr="005C6EE6">
              <w:t xml:space="preserve">           329 </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9BC8DC" w14:textId="77777777" w:rsidR="005C6EE6" w:rsidRPr="005C6EE6" w:rsidRDefault="005C6EE6" w:rsidP="005C6EE6">
            <w:r w:rsidRPr="005C6EE6">
              <w:t xml:space="preserve">        1.298 </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75690C" w14:textId="77777777" w:rsidR="005C6EE6" w:rsidRPr="005C6EE6" w:rsidRDefault="005C6EE6" w:rsidP="005C6EE6">
            <w:r w:rsidRPr="005C6EE6">
              <w:t xml:space="preserve">            1.627 </w:t>
            </w:r>
          </w:p>
        </w:tc>
        <w:tc>
          <w:tcPr>
            <w:tcW w:w="10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4BFC5A" w14:textId="77777777" w:rsidR="005C6EE6" w:rsidRPr="005C6EE6" w:rsidRDefault="005C6EE6" w:rsidP="005C6EE6">
            <w:r w:rsidRPr="005C6EE6">
              <w:t xml:space="preserve">           539 </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11CE06F" w14:textId="77777777" w:rsidR="005C6EE6" w:rsidRPr="005C6EE6" w:rsidRDefault="005C6EE6" w:rsidP="005C6EE6">
            <w:r w:rsidRPr="005C6EE6">
              <w:t xml:space="preserve">          2.361 </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DAF710" w14:textId="77777777" w:rsidR="005C6EE6" w:rsidRPr="005C6EE6" w:rsidRDefault="005C6EE6" w:rsidP="005C6EE6">
            <w:r w:rsidRPr="005C6EE6">
              <w:t xml:space="preserve">       2.900 </w:t>
            </w:r>
          </w:p>
        </w:tc>
      </w:tr>
    </w:tbl>
    <w:p w14:paraId="134AEA9A" w14:textId="77777777" w:rsidR="005C6EE6" w:rsidRPr="005C6EE6" w:rsidRDefault="005C6EE6" w:rsidP="005C6EE6"/>
    <w:p w14:paraId="3C16D137" w14:textId="77777777" w:rsidR="005C6EE6" w:rsidRPr="005C6EE6" w:rsidRDefault="005C6EE6" w:rsidP="005C6EE6">
      <w:r w:rsidRPr="005C6EE6">
        <w:t>Beregningsmetoden for genanvendelsesbidraget fra metaller i slaggen fremgår af Kommissionens gennemførelsesafgørelse af 7. juni 2019, nærmere betegnet i dennes Bilag III.</w:t>
      </w:r>
    </w:p>
    <w:p w14:paraId="5264F875" w14:textId="77777777" w:rsidR="005C6EE6" w:rsidRPr="005C6EE6" w:rsidRDefault="005C6EE6" w:rsidP="005C6EE6">
      <w:r w:rsidRPr="005C6EE6">
        <w:t xml:space="preserve">Det skal bemærkes, at man ved beregningen skal sondre mellem den del af metallet i slaggen, der hidrører fra ’kommunalt affald’, og den del, der kommer fra erhvervsaffald, og at kun den del, der hidrører fra ’kommunalt affald’ må medregnes i genanvendelsesprocenten herfor. </w:t>
      </w:r>
    </w:p>
    <w:p w14:paraId="069C734E" w14:textId="0E3125A2" w:rsidR="005C6EE6" w:rsidRPr="005C6EE6" w:rsidRDefault="005C6EE6" w:rsidP="005C6EE6">
      <w:r w:rsidRPr="005C6EE6">
        <w:t>Andelene skal, jf. Bilag III pkt. 5 i gennemførelsesafgørelsen dokumenteres ved stikprøveundersøgelser, der gennemføres hvert 5</w:t>
      </w:r>
      <w:r w:rsidR="0029088E">
        <w:t>.</w:t>
      </w:r>
      <w:r w:rsidRPr="005C6EE6">
        <w:t xml:space="preserve"> år</w:t>
      </w:r>
      <w:r w:rsidR="0029088E">
        <w:t>,</w:t>
      </w:r>
      <w:r w:rsidRPr="005C6EE6">
        <w:t xml:space="preserve"> og når der er grund til at antage, at affaldets sammensætning har ændret sig væsentligt. Dog er anlæg, der forbrænder 75 % kommunalt affald eller mere, undtaget herfor, jf. bilagets pkt. 6, men AffaldPlus’ to affaldsenergianlæg falder ikke </w:t>
      </w:r>
      <w:r w:rsidR="0029088E">
        <w:t>i</w:t>
      </w:r>
      <w:r w:rsidRPr="005C6EE6">
        <w:t>nd under denne undtagelsesbestemmelse. Da der p.t. ikke er gennemført stikprøveanalyser, kan det eksakte bidrag til den fremtidige genanvendelsesprocent p.t. ikke beregnes, og metalandelen kan ej heller indregnes i opfyldelsen af de krav til genanvendelsesprocenter, som gælder for kommunerne i 2022.</w:t>
      </w:r>
    </w:p>
    <w:p w14:paraId="3B001FCC" w14:textId="77777777" w:rsidR="005C6EE6" w:rsidRPr="005C6EE6" w:rsidRDefault="005C6EE6" w:rsidP="005C6EE6">
      <w:r w:rsidRPr="005C6EE6">
        <w:lastRenderedPageBreak/>
        <w:t xml:space="preserve">For at få et omtrentligt indtryk af mængderne og deres betydning for den fremtidige genanvendelsesprocent, er det ved simpel forholdstalsberegning og under antagelse af, at metalandelene er identiske i kommunalt og andet affald til forbrænding, i tabel II.d.2 opgjort, hvor meget metal, der må antages at være udsorteret fra det forbrændte </w:t>
      </w:r>
      <w:r w:rsidRPr="005C6EE6">
        <w:rPr>
          <w:i/>
          <w:iCs/>
        </w:rPr>
        <w:t>kommunale</w:t>
      </w:r>
      <w:r w:rsidRPr="005C6EE6">
        <w:t xml:space="preserve"> affald fra alle AffaldPlus-kommunerne i 2019 og 2020.</w:t>
      </w:r>
    </w:p>
    <w:p w14:paraId="0ED0B240" w14:textId="77777777" w:rsidR="005C6EE6" w:rsidRPr="005C6EE6" w:rsidRDefault="005C6EE6" w:rsidP="005C6EE6">
      <w:r w:rsidRPr="005C6EE6">
        <w:t>Det ses, at mængden for alle kommuner under ét udgør i størrelsesordenen 1.316 ton i 2020 eller ca. 9 kg/husstand pr. år. Det svarer i runde tal til den mængde, der ved analyser er fundet i restaffald og småt brændbart, og eftersom der må forventes et vist tab ved forbrændingsprocessen, tyder det på, at der må være en større andel metal i erhvervsaffaldet end i det kommunale affald, som påvirker resultatet. Det vil imidlertid først blive endeligt afklaret ved de foreskrevne stikprøveanalyser.</w:t>
      </w:r>
    </w:p>
    <w:p w14:paraId="7752EC41" w14:textId="77777777" w:rsidR="005C6EE6" w:rsidRPr="005C6EE6" w:rsidRDefault="005C6EE6" w:rsidP="005C6EE6">
      <w:r w:rsidRPr="005C6EE6">
        <w:t xml:space="preserve">HVIS det imidlertid antages, at de 1.316 ton kan henføres til det kommunale affald, vil det teoretisk bidrage med i størrelsesordenen 0,6 %-point ved beregningen af den samlede genanvendelsesprocent for kommunalt affald i kommunen. </w:t>
      </w:r>
    </w:p>
    <w:p w14:paraId="433E83DB" w14:textId="7DC179D2" w:rsidR="005C6EE6" w:rsidRPr="005C6EE6" w:rsidRDefault="005C6EE6" w:rsidP="005C6EE6">
      <w:r w:rsidRPr="005C6EE6">
        <w:t>Til sammenligning udgjorde den samlede mængde indsamle</w:t>
      </w:r>
      <w:r w:rsidR="0029088E">
        <w:t>t</w:t>
      </w:r>
      <w:r w:rsidRPr="005C6EE6">
        <w:t xml:space="preserve"> metalaffald (husstandsindsamlet med MGP og indsamlet via genbrugspladserne) i 2020 godt 11.000 ton for alle kommuner under ét.</w:t>
      </w:r>
    </w:p>
    <w:p w14:paraId="50554758" w14:textId="77777777" w:rsidR="005C6EE6" w:rsidRPr="00A14BFB" w:rsidRDefault="005C6EE6" w:rsidP="005C6EE6">
      <w:pPr>
        <w:rPr>
          <w:i/>
          <w:iCs/>
        </w:rPr>
      </w:pPr>
      <w:r w:rsidRPr="00A14BFB">
        <w:rPr>
          <w:i/>
          <w:iCs/>
        </w:rPr>
        <w:t>Tabel IId.2. Den beregnede mængde af metal, der er udsorteret fra forbrændingsslagge af det kommunale affald fra alle kommuner under ét i 2019 og 2020, samt beregning af, hvor mange %-point metallet vil bidrage med til den samlede genanvendelsesprocent for kommunalt affald.</w:t>
      </w:r>
    </w:p>
    <w:tbl>
      <w:tblPr>
        <w:tblW w:w="6091" w:type="dxa"/>
        <w:tblCellMar>
          <w:left w:w="10" w:type="dxa"/>
          <w:right w:w="10" w:type="dxa"/>
        </w:tblCellMar>
        <w:tblLook w:val="04A0" w:firstRow="1" w:lastRow="0" w:firstColumn="1" w:lastColumn="0" w:noHBand="0" w:noVBand="1"/>
      </w:tblPr>
      <w:tblGrid>
        <w:gridCol w:w="3539"/>
        <w:gridCol w:w="1276"/>
        <w:gridCol w:w="1276"/>
      </w:tblGrid>
      <w:tr w:rsidR="005C6EE6" w:rsidRPr="005C6EE6" w14:paraId="48E0F432" w14:textId="77777777" w:rsidTr="005C6EE6">
        <w:trPr>
          <w:trHeight w:val="288"/>
        </w:trPr>
        <w:tc>
          <w:tcPr>
            <w:tcW w:w="35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9ECC30" w14:textId="77777777" w:rsidR="005C6EE6" w:rsidRPr="005C6EE6" w:rsidRDefault="005C6EE6" w:rsidP="005C6EE6">
            <w:r w:rsidRPr="005C6EE6">
              <w:t>Alle kommuner under ét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0C49BE" w14:textId="77777777" w:rsidR="005C6EE6" w:rsidRPr="005C6EE6" w:rsidRDefault="005C6EE6" w:rsidP="005C6EE6">
            <w:r w:rsidRPr="005C6EE6">
              <w:t>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75E50C" w14:textId="77777777" w:rsidR="005C6EE6" w:rsidRPr="005C6EE6" w:rsidRDefault="005C6EE6" w:rsidP="005C6EE6">
            <w:r w:rsidRPr="005C6EE6">
              <w:t>2020</w:t>
            </w:r>
          </w:p>
        </w:tc>
      </w:tr>
      <w:tr w:rsidR="005C6EE6" w:rsidRPr="005C6EE6" w14:paraId="637F1822" w14:textId="77777777" w:rsidTr="005C6EE6">
        <w:trPr>
          <w:trHeight w:val="288"/>
        </w:trPr>
        <w:tc>
          <w:tcPr>
            <w:tcW w:w="35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04FF26" w14:textId="77777777" w:rsidR="005C6EE6" w:rsidRPr="005C6EE6" w:rsidRDefault="005C6EE6" w:rsidP="005C6EE6">
            <w:r w:rsidRPr="005C6EE6">
              <w:t>Kommunalt, forbrændt, ton</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BD3E9A" w14:textId="77777777" w:rsidR="005C6EE6" w:rsidRPr="005C6EE6" w:rsidRDefault="005C6EE6" w:rsidP="005C6EE6">
            <w:r w:rsidRPr="005C6EE6">
              <w:t xml:space="preserve">        85.053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178612" w14:textId="77777777" w:rsidR="005C6EE6" w:rsidRPr="005C6EE6" w:rsidRDefault="005C6EE6" w:rsidP="005C6EE6">
            <w:r w:rsidRPr="005C6EE6">
              <w:t xml:space="preserve">    89.674 </w:t>
            </w:r>
          </w:p>
        </w:tc>
      </w:tr>
      <w:tr w:rsidR="005C6EE6" w:rsidRPr="005C6EE6" w14:paraId="4B2F8755" w14:textId="77777777" w:rsidTr="005C6EE6">
        <w:trPr>
          <w:trHeight w:val="288"/>
        </w:trPr>
        <w:tc>
          <w:tcPr>
            <w:tcW w:w="35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CDC804" w14:textId="77777777" w:rsidR="005C6EE6" w:rsidRPr="005C6EE6" w:rsidRDefault="005C6EE6" w:rsidP="005C6EE6">
            <w:r w:rsidRPr="005C6EE6">
              <w:t>ton metal udvundet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7EF7FF" w14:textId="77777777" w:rsidR="005C6EE6" w:rsidRPr="005C6EE6" w:rsidRDefault="005C6EE6" w:rsidP="005C6EE6">
            <w:r w:rsidRPr="005C6EE6">
              <w:t xml:space="preserve">             733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3FCFAD4" w14:textId="77777777" w:rsidR="005C6EE6" w:rsidRPr="005C6EE6" w:rsidRDefault="005C6EE6" w:rsidP="005C6EE6">
            <w:r w:rsidRPr="005C6EE6">
              <w:t xml:space="preserve">       1.316 </w:t>
            </w:r>
          </w:p>
        </w:tc>
      </w:tr>
      <w:tr w:rsidR="005C6EE6" w:rsidRPr="005C6EE6" w14:paraId="71260122" w14:textId="77777777" w:rsidTr="005C6EE6">
        <w:trPr>
          <w:trHeight w:val="288"/>
        </w:trPr>
        <w:tc>
          <w:tcPr>
            <w:tcW w:w="35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67AC81" w14:textId="77777777" w:rsidR="005C6EE6" w:rsidRPr="005C6EE6" w:rsidRDefault="005C6EE6" w:rsidP="005C6EE6">
            <w:r w:rsidRPr="005C6EE6">
              <w:t>ton kommunalt affald, i alt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51CEE5" w14:textId="77777777" w:rsidR="005C6EE6" w:rsidRPr="005C6EE6" w:rsidRDefault="005C6EE6" w:rsidP="005C6EE6">
            <w:r w:rsidRPr="005C6EE6">
              <w:t xml:space="preserve">     211.268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7AEEBF" w14:textId="77777777" w:rsidR="005C6EE6" w:rsidRPr="005C6EE6" w:rsidRDefault="005C6EE6" w:rsidP="005C6EE6">
            <w:r w:rsidRPr="005C6EE6">
              <w:t xml:space="preserve">  219.780 </w:t>
            </w:r>
          </w:p>
        </w:tc>
      </w:tr>
      <w:tr w:rsidR="005C6EE6" w:rsidRPr="005C6EE6" w14:paraId="5CD50E89" w14:textId="77777777" w:rsidTr="005C6EE6">
        <w:trPr>
          <w:trHeight w:val="288"/>
        </w:trPr>
        <w:tc>
          <w:tcPr>
            <w:tcW w:w="35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0656FB" w14:textId="77777777" w:rsidR="005C6EE6" w:rsidRPr="005C6EE6" w:rsidRDefault="005C6EE6" w:rsidP="005C6EE6">
            <w:r w:rsidRPr="005C6EE6">
              <w:t>Slagge-metal, %-point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43CF19" w14:textId="77777777" w:rsidR="005C6EE6" w:rsidRPr="005C6EE6" w:rsidRDefault="005C6EE6" w:rsidP="005C6EE6">
            <w:r w:rsidRPr="005C6EE6">
              <w:t>0,35</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6CCBDA" w14:textId="77777777" w:rsidR="005C6EE6" w:rsidRPr="005C6EE6" w:rsidRDefault="005C6EE6" w:rsidP="005C6EE6">
            <w:r w:rsidRPr="005C6EE6">
              <w:t>0,60</w:t>
            </w:r>
          </w:p>
        </w:tc>
      </w:tr>
    </w:tbl>
    <w:p w14:paraId="749B7B47" w14:textId="77777777" w:rsidR="005C6EE6" w:rsidRPr="005C6EE6" w:rsidRDefault="005C6EE6" w:rsidP="005C6EE6"/>
    <w:p w14:paraId="0BD54703" w14:textId="77777777" w:rsidR="005C6EE6" w:rsidRPr="005C6EE6" w:rsidRDefault="005C6EE6" w:rsidP="005C6EE6"/>
    <w:p w14:paraId="1011E714" w14:textId="77777777" w:rsidR="005C6EE6" w:rsidRPr="005C6EE6" w:rsidRDefault="005C6EE6" w:rsidP="005C6EE6"/>
    <w:p w14:paraId="19DAAB75" w14:textId="77777777" w:rsidR="005C6EE6" w:rsidRPr="005C6EE6" w:rsidRDefault="005C6EE6" w:rsidP="005C6EE6"/>
    <w:p w14:paraId="74F05C07" w14:textId="77777777" w:rsidR="005C6EE6" w:rsidRPr="005C6EE6" w:rsidRDefault="005C6EE6" w:rsidP="005C6EE6"/>
    <w:p w14:paraId="44075F0C" w14:textId="77777777" w:rsidR="005C6EE6" w:rsidRPr="005C6EE6" w:rsidRDefault="005C6EE6" w:rsidP="005C6EE6"/>
    <w:p w14:paraId="69D6156A" w14:textId="77777777" w:rsidR="005C6EE6" w:rsidRPr="005C6EE6" w:rsidRDefault="005C6EE6" w:rsidP="005C6EE6"/>
    <w:p w14:paraId="55007D57" w14:textId="77777777" w:rsidR="005C6EE6" w:rsidRPr="005C6EE6" w:rsidRDefault="005C6EE6" w:rsidP="005C6EE6">
      <w:bookmarkStart w:id="504" w:name="_Toc68611349"/>
      <w:bookmarkStart w:id="505" w:name="_Toc69216664"/>
      <w:bookmarkStart w:id="506" w:name="_Toc70950958"/>
      <w:bookmarkStart w:id="507" w:name="_Toc71191773"/>
    </w:p>
    <w:p w14:paraId="03898823" w14:textId="77777777" w:rsidR="00734304" w:rsidRDefault="00734304" w:rsidP="00734304">
      <w:bookmarkStart w:id="508" w:name="_Toc76126088"/>
    </w:p>
    <w:p w14:paraId="611170AE" w14:textId="77777777" w:rsidR="00734304" w:rsidRDefault="00734304" w:rsidP="00734304"/>
    <w:p w14:paraId="0ED559C9" w14:textId="4E384DE7" w:rsidR="005C6EE6" w:rsidRPr="00734304" w:rsidRDefault="005C6EE6" w:rsidP="00734304">
      <w:pPr>
        <w:rPr>
          <w:b/>
          <w:bCs/>
          <w:sz w:val="28"/>
          <w:szCs w:val="28"/>
        </w:rPr>
      </w:pPr>
      <w:r w:rsidRPr="00734304">
        <w:rPr>
          <w:b/>
          <w:bCs/>
          <w:sz w:val="28"/>
          <w:szCs w:val="28"/>
        </w:rPr>
        <w:lastRenderedPageBreak/>
        <w:t>Bilag IIe: Erhvervsaffaldsmængder til deponering og forbrænding i referenceåret 2014 og i perioden 2017-2020</w:t>
      </w:r>
      <w:bookmarkEnd w:id="504"/>
      <w:bookmarkEnd w:id="505"/>
      <w:bookmarkEnd w:id="506"/>
      <w:bookmarkEnd w:id="507"/>
      <w:bookmarkEnd w:id="508"/>
    </w:p>
    <w:p w14:paraId="29E22C11" w14:textId="77777777" w:rsidR="005C6EE6" w:rsidRPr="005C6EE6" w:rsidRDefault="005C6EE6" w:rsidP="005C6EE6">
      <w:bookmarkStart w:id="509" w:name="_Toc68611350"/>
      <w:bookmarkStart w:id="510" w:name="_Toc69216665"/>
      <w:bookmarkStart w:id="511" w:name="_Toc70950959"/>
      <w:bookmarkStart w:id="512" w:name="_Toc71191774"/>
    </w:p>
    <w:p w14:paraId="64C15CEB" w14:textId="77777777" w:rsidR="005C6EE6" w:rsidRPr="00674646" w:rsidRDefault="005C6EE6" w:rsidP="005C6EE6">
      <w:pPr>
        <w:rPr>
          <w:i/>
          <w:iCs/>
        </w:rPr>
      </w:pPr>
      <w:r w:rsidRPr="00674646">
        <w:rPr>
          <w:i/>
          <w:iCs/>
        </w:rPr>
        <w:t>Tabel IIe.1.: De ikke-genanvendelige erhvervsaffaldsmængder, som kommunen har anvisningspligt i forhold til, opgjort i ton/år i 2014 og i perioden 2017-2020, opdelt på forbrændingsegnet, deponeringsegnet, ren jord til afdækning og biobrændsel. Endvidere er vist hvor meget af det deponeringsegnede erhvervsaffald, der udgøres af asbest og PCB-holdigt affald.</w:t>
      </w:r>
    </w:p>
    <w:p w14:paraId="69168DEB" w14:textId="77777777" w:rsidR="005C6EE6" w:rsidRPr="005C6EE6" w:rsidRDefault="005C6EE6" w:rsidP="005C6EE6">
      <w:pPr>
        <w:rPr>
          <w:rFonts w:ascii="Verdana" w:hAnsi="Verdana"/>
        </w:rPr>
      </w:pPr>
      <w:r w:rsidRPr="005C6EE6">
        <w:rPr>
          <w:noProof/>
        </w:rPr>
        <w:drawing>
          <wp:inline distT="0" distB="0" distL="0" distR="0" wp14:anchorId="5C1502FC" wp14:editId="2D205630">
            <wp:extent cx="5151120" cy="1836420"/>
            <wp:effectExtent l="0" t="0" r="0" b="0"/>
            <wp:docPr id="68" name="Billed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51120" cy="1836420"/>
                    </a:xfrm>
                    <a:prstGeom prst="rect">
                      <a:avLst/>
                    </a:prstGeom>
                    <a:noFill/>
                    <a:ln>
                      <a:noFill/>
                    </a:ln>
                  </pic:spPr>
                </pic:pic>
              </a:graphicData>
            </a:graphic>
          </wp:inline>
        </w:drawing>
      </w:r>
    </w:p>
    <w:p w14:paraId="214F5574" w14:textId="77777777" w:rsidR="005C6EE6" w:rsidRPr="005C6EE6" w:rsidRDefault="005C6EE6" w:rsidP="005C6EE6"/>
    <w:p w14:paraId="7B8DF7E3" w14:textId="77777777" w:rsidR="005C6EE6" w:rsidRPr="00674646" w:rsidRDefault="005C6EE6" w:rsidP="005C6EE6">
      <w:pPr>
        <w:rPr>
          <w:i/>
          <w:iCs/>
        </w:rPr>
      </w:pPr>
      <w:r w:rsidRPr="00674646">
        <w:rPr>
          <w:i/>
          <w:iCs/>
        </w:rPr>
        <w:t>Figur IIe.1.: Grafisk gengivelse af Tabel IIe.1.</w:t>
      </w:r>
    </w:p>
    <w:p w14:paraId="106BBAE0" w14:textId="77777777" w:rsidR="005C6EE6" w:rsidRPr="005C6EE6" w:rsidRDefault="005C6EE6" w:rsidP="005C6EE6">
      <w:pPr>
        <w:rPr>
          <w:rFonts w:ascii="Verdana" w:hAnsi="Verdana"/>
        </w:rPr>
      </w:pPr>
      <w:r w:rsidRPr="005C6EE6">
        <w:rPr>
          <w:noProof/>
        </w:rPr>
        <w:drawing>
          <wp:inline distT="0" distB="0" distL="0" distR="0" wp14:anchorId="4C9744B5" wp14:editId="6233A25A">
            <wp:extent cx="4572000" cy="2743200"/>
            <wp:effectExtent l="0" t="0" r="0" b="0"/>
            <wp:docPr id="69" name="Diagram 69">
              <a:extLst xmlns:a="http://schemas.openxmlformats.org/drawingml/2006/main">
                <a:ext uri="{FF2B5EF4-FFF2-40B4-BE49-F238E27FC236}">
                  <a16:creationId xmlns:a16="http://schemas.microsoft.com/office/drawing/2014/main" id="{6CA47920-3616-4931-B915-036517F65E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FECDD26" w14:textId="77777777" w:rsidR="005C6EE6" w:rsidRPr="005C6EE6" w:rsidRDefault="005C6EE6" w:rsidP="005C6EE6"/>
    <w:p w14:paraId="0CECB002" w14:textId="77777777" w:rsidR="005C6EE6" w:rsidRPr="005C6EE6" w:rsidRDefault="005C6EE6" w:rsidP="005C6EE6"/>
    <w:p w14:paraId="6F28EEDA" w14:textId="77777777" w:rsidR="005C6EE6" w:rsidRPr="005C6EE6" w:rsidRDefault="005C6EE6" w:rsidP="005C6EE6"/>
    <w:p w14:paraId="10600EE5" w14:textId="77777777" w:rsidR="005C6EE6" w:rsidRPr="005C6EE6" w:rsidRDefault="005C6EE6" w:rsidP="005C6EE6"/>
    <w:p w14:paraId="502817AB" w14:textId="77777777" w:rsidR="005C6EE6" w:rsidRPr="005C6EE6" w:rsidRDefault="005C6EE6" w:rsidP="005C6EE6"/>
    <w:p w14:paraId="2D20E8F8" w14:textId="77777777" w:rsidR="005C6EE6" w:rsidRPr="005C6EE6" w:rsidRDefault="005C6EE6" w:rsidP="005C6EE6"/>
    <w:p w14:paraId="62963082" w14:textId="77777777" w:rsidR="005C6EE6" w:rsidRPr="00674646" w:rsidRDefault="005C6EE6" w:rsidP="005C6EE6">
      <w:pPr>
        <w:rPr>
          <w:i/>
          <w:iCs/>
        </w:rPr>
      </w:pPr>
      <w:r w:rsidRPr="00674646">
        <w:rPr>
          <w:i/>
          <w:iCs/>
        </w:rPr>
        <w:t>Figur IIe.2.: Den deponerede erhvervsaffaldsmængde i ton pr. år i 2014 og perioden 2017-2020. Dels totalmængden, dels andelene heraf, der udgøres af asbest og PCB-holdigt affald.</w:t>
      </w:r>
    </w:p>
    <w:p w14:paraId="36CFD0D5" w14:textId="77777777" w:rsidR="005C6EE6" w:rsidRPr="005C6EE6" w:rsidRDefault="005C6EE6" w:rsidP="005C6EE6">
      <w:pPr>
        <w:rPr>
          <w:rFonts w:ascii="Verdana" w:hAnsi="Verdana"/>
        </w:rPr>
      </w:pPr>
      <w:r w:rsidRPr="005C6EE6">
        <w:rPr>
          <w:noProof/>
        </w:rPr>
        <w:drawing>
          <wp:inline distT="0" distB="0" distL="0" distR="0" wp14:anchorId="71E84549" wp14:editId="76B7059D">
            <wp:extent cx="4572000" cy="2743200"/>
            <wp:effectExtent l="0" t="0" r="0" b="0"/>
            <wp:docPr id="70" name="Diagram 70">
              <a:extLst xmlns:a="http://schemas.openxmlformats.org/drawingml/2006/main">
                <a:ext uri="{FF2B5EF4-FFF2-40B4-BE49-F238E27FC236}">
                  <a16:creationId xmlns:a16="http://schemas.microsoft.com/office/drawing/2014/main" id="{DB069B9F-1AF1-4499-99DA-6A4EA83DB0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D8B3A8B" w14:textId="77777777" w:rsidR="005C6EE6" w:rsidRPr="005C6EE6" w:rsidRDefault="005C6EE6" w:rsidP="005C6EE6"/>
    <w:p w14:paraId="4151C50E" w14:textId="77777777" w:rsidR="005C6EE6" w:rsidRPr="005C6EE6" w:rsidRDefault="005C6EE6" w:rsidP="005C6EE6"/>
    <w:p w14:paraId="79018CC3" w14:textId="77777777" w:rsidR="005C6EE6" w:rsidRPr="005C6EE6" w:rsidRDefault="005C6EE6" w:rsidP="005C6EE6">
      <w:r w:rsidRPr="005C6EE6">
        <w:t>Det ses, at mængderne af erhvervsaffald til deponering er faldet siden 2014, men steg igen fra 2019 til 2020, alt overvejende som følge af stigende asbestaffaldsmængder.</w:t>
      </w:r>
    </w:p>
    <w:p w14:paraId="4B821D82" w14:textId="77777777" w:rsidR="005C6EE6" w:rsidRPr="005C6EE6" w:rsidRDefault="005C6EE6" w:rsidP="005C6EE6"/>
    <w:p w14:paraId="59B2EA0E" w14:textId="77777777" w:rsidR="005C6EE6" w:rsidRPr="00674646" w:rsidRDefault="005C6EE6" w:rsidP="005C6EE6">
      <w:pPr>
        <w:rPr>
          <w:i/>
          <w:iCs/>
        </w:rPr>
      </w:pPr>
      <w:bookmarkStart w:id="513" w:name="_Hlk76120688"/>
      <w:r w:rsidRPr="00674646">
        <w:rPr>
          <w:i/>
          <w:iCs/>
        </w:rPr>
        <w:t>Tabel IIe.2.: Erhvervsaffald, ikke egnet til materialenyttiggørelse, som er behandlet på andet end AffaldPlus-anlæg 2017-2019. Kilde: ADS, Affaldsproduktion i Danmark fordelt på type og kommune (R020).</w:t>
      </w:r>
    </w:p>
    <w:p w14:paraId="3FC9EF28" w14:textId="77777777" w:rsidR="005C6EE6" w:rsidRPr="005C6EE6" w:rsidRDefault="005C6EE6" w:rsidP="005C6EE6">
      <w:pPr>
        <w:rPr>
          <w:rFonts w:ascii="Verdana" w:hAnsi="Verdana"/>
        </w:rPr>
      </w:pPr>
      <w:r w:rsidRPr="005C6EE6">
        <w:rPr>
          <w:noProof/>
        </w:rPr>
        <w:drawing>
          <wp:inline distT="0" distB="0" distL="0" distR="0" wp14:anchorId="665F613A" wp14:editId="7421DE63">
            <wp:extent cx="5951220" cy="92202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1220" cy="922020"/>
                    </a:xfrm>
                    <a:prstGeom prst="rect">
                      <a:avLst/>
                    </a:prstGeom>
                    <a:noFill/>
                    <a:ln>
                      <a:noFill/>
                    </a:ln>
                  </pic:spPr>
                </pic:pic>
              </a:graphicData>
            </a:graphic>
          </wp:inline>
        </w:drawing>
      </w:r>
    </w:p>
    <w:bookmarkEnd w:id="513"/>
    <w:p w14:paraId="136FB780" w14:textId="77777777" w:rsidR="005C6EE6" w:rsidRPr="005C6EE6" w:rsidRDefault="005C6EE6" w:rsidP="00734304">
      <w:pPr>
        <w:pStyle w:val="Listeafsnit"/>
      </w:pPr>
    </w:p>
    <w:p w14:paraId="3FDF64C5" w14:textId="77777777" w:rsidR="005C6EE6" w:rsidRPr="005C6EE6" w:rsidRDefault="005C6EE6" w:rsidP="005C6EE6">
      <w:pPr>
        <w:rPr>
          <w:rFonts w:ascii="Calibri Light" w:eastAsia="Times New Roman" w:hAnsi="Calibri Light"/>
          <w:color w:val="2E74B5"/>
          <w:sz w:val="26"/>
          <w:szCs w:val="26"/>
        </w:rPr>
      </w:pPr>
      <w:r w:rsidRPr="005C6EE6">
        <w:br w:type="page"/>
      </w:r>
    </w:p>
    <w:p w14:paraId="7829A70A" w14:textId="77777777" w:rsidR="005C6EE6" w:rsidRPr="00734304" w:rsidRDefault="005C6EE6" w:rsidP="00734304">
      <w:pPr>
        <w:rPr>
          <w:b/>
          <w:bCs/>
          <w:sz w:val="28"/>
          <w:szCs w:val="28"/>
        </w:rPr>
      </w:pPr>
      <w:bookmarkStart w:id="514" w:name="_Toc76126089"/>
      <w:r w:rsidRPr="00734304">
        <w:rPr>
          <w:b/>
          <w:bCs/>
          <w:sz w:val="28"/>
          <w:szCs w:val="28"/>
        </w:rPr>
        <w:lastRenderedPageBreak/>
        <w:t>Bilag IIf: Erhvervsaffaldsmængder til genanvendelse 2017-20</w:t>
      </w:r>
      <w:bookmarkEnd w:id="509"/>
      <w:r w:rsidRPr="00734304">
        <w:rPr>
          <w:b/>
          <w:bCs/>
          <w:sz w:val="28"/>
          <w:szCs w:val="28"/>
        </w:rPr>
        <w:t>19</w:t>
      </w:r>
      <w:bookmarkEnd w:id="510"/>
      <w:bookmarkEnd w:id="511"/>
      <w:bookmarkEnd w:id="512"/>
      <w:bookmarkEnd w:id="514"/>
    </w:p>
    <w:p w14:paraId="473BF1A5" w14:textId="6CCD6BBE" w:rsidR="005C6EE6" w:rsidRPr="00674646" w:rsidRDefault="005C6EE6" w:rsidP="005C6EE6">
      <w:pPr>
        <w:rPr>
          <w:i/>
          <w:iCs/>
        </w:rPr>
      </w:pPr>
      <w:bookmarkStart w:id="515" w:name="_Hlk76120823"/>
      <w:bookmarkStart w:id="516" w:name="_Toc68611351"/>
      <w:bookmarkStart w:id="517" w:name="_Toc69216666"/>
      <w:bookmarkStart w:id="518" w:name="_Toc70950960"/>
      <w:bookmarkStart w:id="519" w:name="_Toc71191775"/>
      <w:r w:rsidRPr="00674646">
        <w:rPr>
          <w:i/>
          <w:iCs/>
        </w:rPr>
        <w:t>Tabel III.1.: Mængder af erhvervsaffald, eg</w:t>
      </w:r>
      <w:r w:rsidR="0029088E">
        <w:rPr>
          <w:i/>
          <w:iCs/>
        </w:rPr>
        <w:t>n</w:t>
      </w:r>
      <w:r w:rsidRPr="00674646">
        <w:rPr>
          <w:i/>
          <w:iCs/>
        </w:rPr>
        <w:t>et til materialegenanvendelse, 2017, 2018 og 2019, opgjort efter affaldsfraktion. Kilde: ADS, Affaldsproduktion i Danmark fordelt på type og kommune (R020).</w:t>
      </w:r>
    </w:p>
    <w:p w14:paraId="61B22B1E" w14:textId="77777777" w:rsidR="005C6EE6" w:rsidRPr="005C6EE6" w:rsidRDefault="005C6EE6" w:rsidP="005C6EE6">
      <w:pPr>
        <w:rPr>
          <w:rFonts w:ascii="Verdana" w:hAnsi="Verdana"/>
        </w:rPr>
      </w:pPr>
      <w:r w:rsidRPr="005C6EE6">
        <w:rPr>
          <w:noProof/>
        </w:rPr>
        <w:drawing>
          <wp:inline distT="0" distB="0" distL="0" distR="0" wp14:anchorId="525D6085" wp14:editId="634C9F2A">
            <wp:extent cx="5951220" cy="7139940"/>
            <wp:effectExtent l="0" t="0" r="0" b="381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51220" cy="7139940"/>
                    </a:xfrm>
                    <a:prstGeom prst="rect">
                      <a:avLst/>
                    </a:prstGeom>
                    <a:noFill/>
                    <a:ln>
                      <a:noFill/>
                    </a:ln>
                  </pic:spPr>
                </pic:pic>
              </a:graphicData>
            </a:graphic>
          </wp:inline>
        </w:drawing>
      </w:r>
    </w:p>
    <w:p w14:paraId="0B2D187C" w14:textId="192D5B82" w:rsidR="005C6EE6" w:rsidRPr="00674646" w:rsidRDefault="005C6EE6" w:rsidP="005C6EE6">
      <w:pPr>
        <w:rPr>
          <w:i/>
          <w:iCs/>
        </w:rPr>
      </w:pPr>
      <w:r w:rsidRPr="00674646">
        <w:rPr>
          <w:i/>
          <w:iCs/>
        </w:rPr>
        <w:lastRenderedPageBreak/>
        <w:t xml:space="preserve">Tabel III.2.: </w:t>
      </w:r>
      <w:r w:rsidR="0029088E">
        <w:rPr>
          <w:i/>
          <w:iCs/>
        </w:rPr>
        <w:t>M</w:t>
      </w:r>
      <w:r w:rsidRPr="00674646">
        <w:rPr>
          <w:i/>
          <w:iCs/>
        </w:rPr>
        <w:t>ængder af erhvervsaffald, egnet til materialegenanvendelse, 2017, 2018 og 2019 samt den procentvise fordeling i 2019 (</w:t>
      </w:r>
      <w:r w:rsidR="0029088E">
        <w:rPr>
          <w:i/>
          <w:iCs/>
        </w:rPr>
        <w:t>summeret</w:t>
      </w:r>
      <w:r w:rsidRPr="00674646">
        <w:rPr>
          <w:i/>
          <w:iCs/>
        </w:rPr>
        <w:t xml:space="preserve"> ud fra Tabel III.1).</w:t>
      </w:r>
    </w:p>
    <w:p w14:paraId="5C1106D1" w14:textId="77777777" w:rsidR="005C6EE6" w:rsidRPr="005C6EE6" w:rsidRDefault="005C6EE6" w:rsidP="005C6EE6">
      <w:pPr>
        <w:rPr>
          <w:rFonts w:ascii="Verdana" w:hAnsi="Verdana"/>
        </w:rPr>
      </w:pPr>
      <w:r w:rsidRPr="005C6EE6">
        <w:rPr>
          <w:noProof/>
        </w:rPr>
        <w:drawing>
          <wp:inline distT="0" distB="0" distL="0" distR="0" wp14:anchorId="0D82E7BA" wp14:editId="72007966">
            <wp:extent cx="6120130" cy="376047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3760470"/>
                    </a:xfrm>
                    <a:prstGeom prst="rect">
                      <a:avLst/>
                    </a:prstGeom>
                    <a:noFill/>
                    <a:ln>
                      <a:noFill/>
                    </a:ln>
                  </pic:spPr>
                </pic:pic>
              </a:graphicData>
            </a:graphic>
          </wp:inline>
        </w:drawing>
      </w:r>
    </w:p>
    <w:bookmarkEnd w:id="515"/>
    <w:p w14:paraId="143F5B7E" w14:textId="77777777" w:rsidR="005C6EE6" w:rsidRPr="005C6EE6" w:rsidRDefault="005C6EE6" w:rsidP="005C6EE6"/>
    <w:p w14:paraId="5DA5A2E6" w14:textId="77777777" w:rsidR="005C6EE6" w:rsidRPr="005C6EE6" w:rsidRDefault="005C6EE6" w:rsidP="005C6EE6">
      <w:r w:rsidRPr="005C6EE6">
        <w:br w:type="page"/>
      </w:r>
    </w:p>
    <w:p w14:paraId="36673F40" w14:textId="77777777" w:rsidR="005C6EE6" w:rsidRPr="00734304" w:rsidRDefault="005C6EE6" w:rsidP="00734304">
      <w:pPr>
        <w:rPr>
          <w:b/>
          <w:bCs/>
          <w:sz w:val="28"/>
          <w:szCs w:val="28"/>
        </w:rPr>
      </w:pPr>
      <w:bookmarkStart w:id="520" w:name="_Toc76126090"/>
      <w:r w:rsidRPr="00734304">
        <w:rPr>
          <w:b/>
          <w:bCs/>
          <w:sz w:val="28"/>
          <w:szCs w:val="28"/>
        </w:rPr>
        <w:lastRenderedPageBreak/>
        <w:t xml:space="preserve">Bilag III: De faktiske mængder af kommunalt affald i 2020 sammenholdt med de forventede mængder i 2025 og 2030 </w:t>
      </w:r>
      <w:bookmarkEnd w:id="516"/>
      <w:bookmarkEnd w:id="517"/>
      <w:r w:rsidRPr="00734304">
        <w:rPr>
          <w:b/>
          <w:bCs/>
          <w:sz w:val="28"/>
          <w:szCs w:val="28"/>
        </w:rPr>
        <w:t>samt den forventede reelle genanvendelse heraf</w:t>
      </w:r>
      <w:bookmarkEnd w:id="518"/>
      <w:bookmarkEnd w:id="519"/>
      <w:bookmarkEnd w:id="520"/>
    </w:p>
    <w:p w14:paraId="31F25118" w14:textId="77777777" w:rsidR="005C6EE6" w:rsidRPr="005C6EE6" w:rsidRDefault="005C6EE6" w:rsidP="005C6EE6"/>
    <w:p w14:paraId="381DCD33" w14:textId="77777777" w:rsidR="005C6EE6" w:rsidRPr="005C6EE6" w:rsidRDefault="005C6EE6" w:rsidP="005C6EE6">
      <w:bookmarkStart w:id="521" w:name="_Toc71191776"/>
      <w:r w:rsidRPr="005C6EE6">
        <w:t>Antagelser ved fremskrivningerne:</w:t>
      </w:r>
    </w:p>
    <w:p w14:paraId="6A56024E" w14:textId="77777777" w:rsidR="005C6EE6" w:rsidRPr="005C6EE6" w:rsidRDefault="005C6EE6" w:rsidP="005C6EE6">
      <w:r w:rsidRPr="005C6EE6">
        <w:t>1.</w:t>
      </w:r>
      <w:r w:rsidRPr="005C6EE6">
        <w:tab/>
        <w:t>Materialepotentialerne udvikler sig proportionelt med antallet af boliger.</w:t>
      </w:r>
    </w:p>
    <w:p w14:paraId="00A34FF1" w14:textId="77777777" w:rsidR="005C6EE6" w:rsidRPr="005C6EE6" w:rsidRDefault="005C6EE6" w:rsidP="005C6EE6">
      <w:r w:rsidRPr="005C6EE6">
        <w:t>2.</w:t>
      </w:r>
      <w:r w:rsidRPr="005C6EE6">
        <w:tab/>
        <w:t>Papirmængden antages dog at falde med 8 % p.a.</w:t>
      </w:r>
    </w:p>
    <w:p w14:paraId="143E8FB8" w14:textId="77777777" w:rsidR="005C6EE6" w:rsidRPr="005C6EE6" w:rsidRDefault="005C6EE6" w:rsidP="0029088E">
      <w:pPr>
        <w:ind w:left="1304" w:hanging="1304"/>
      </w:pPr>
      <w:r w:rsidRPr="005C6EE6">
        <w:t>3.</w:t>
      </w:r>
      <w:r w:rsidRPr="005C6EE6">
        <w:tab/>
        <w:t>For nye affaldstyper, der husstandsindsamles, antages generelt en indsamlingseffektivitet på 50 % af det, der i dag ligger i rest (se nærmere herfor i Afsnit 4.1.).</w:t>
      </w:r>
    </w:p>
    <w:p w14:paraId="3F1C3E0B" w14:textId="77777777" w:rsidR="005C6EE6" w:rsidRPr="005C6EE6" w:rsidRDefault="005C6EE6" w:rsidP="0029088E">
      <w:pPr>
        <w:ind w:left="1304" w:hanging="1304"/>
      </w:pPr>
      <w:r w:rsidRPr="005C6EE6">
        <w:t>4.</w:t>
      </w:r>
      <w:r w:rsidRPr="005C6EE6">
        <w:tab/>
        <w:t>For affaldstyper, der allerede indsamles, antages generelt en øgning af indsamlingseffektiviteten som følge af kommunikationsindsatsen lokalt som nationalt, således at 10 % af det, der i dag ligger i rest, fremover også udsorteres til genanvendelse.</w:t>
      </w:r>
    </w:p>
    <w:p w14:paraId="3984F3D1" w14:textId="517119DD" w:rsidR="005C6EE6" w:rsidRPr="005C6EE6" w:rsidRDefault="005C6EE6" w:rsidP="0029088E">
      <w:pPr>
        <w:ind w:left="1304" w:hanging="1304"/>
      </w:pPr>
      <w:r w:rsidRPr="005C6EE6">
        <w:t>5.</w:t>
      </w:r>
      <w:r w:rsidRPr="005C6EE6">
        <w:tab/>
        <w:t xml:space="preserve">For småt brændbart antages det, at halvdelen af det genanvendelige affald, som i dag ligger i småt brændbart (og som udgør ca. 50 %) udsorteres til genanvendelse som følge af målrettede initiativer på </w:t>
      </w:r>
      <w:r w:rsidR="0029088E">
        <w:t>genbrugspladserne</w:t>
      </w:r>
      <w:r w:rsidRPr="005C6EE6">
        <w:t>.</w:t>
      </w:r>
    </w:p>
    <w:p w14:paraId="3C8A638E" w14:textId="77777777" w:rsidR="005C6EE6" w:rsidRPr="005C6EE6" w:rsidRDefault="005C6EE6" w:rsidP="0029088E">
      <w:pPr>
        <w:ind w:left="1304" w:hanging="1304"/>
      </w:pPr>
      <w:r w:rsidRPr="005C6EE6">
        <w:t>6.</w:t>
      </w:r>
      <w:r w:rsidRPr="005C6EE6">
        <w:tab/>
        <w:t>Erhvervenes bidrag med husholdningslignende restaffald forventes nedbragt med 25 % i 2025 og yderligere 25 % i 2030 som følge af pligten for disse til at udsortere genanvendeligt affald.</w:t>
      </w:r>
    </w:p>
    <w:p w14:paraId="241A1521" w14:textId="77777777" w:rsidR="005C6EE6" w:rsidRPr="005C6EE6" w:rsidRDefault="005C6EE6" w:rsidP="005C6EE6">
      <w:r w:rsidRPr="005C6EE6">
        <w:t>For det husstandsindsamlede affald vil det forventeligt give de bevægelser, som er anført i Tabel III.1</w:t>
      </w:r>
    </w:p>
    <w:p w14:paraId="17A964F6" w14:textId="68153C6E" w:rsidR="005C6EE6" w:rsidRPr="00674646" w:rsidRDefault="005C6EE6" w:rsidP="005C6EE6">
      <w:pPr>
        <w:rPr>
          <w:i/>
          <w:iCs/>
        </w:rPr>
      </w:pPr>
      <w:r w:rsidRPr="00674646">
        <w:rPr>
          <w:i/>
          <w:iCs/>
        </w:rPr>
        <w:t xml:space="preserve">Tabel III.1.: De aktuelt indsamlede mængder i kg/husstand/år af de 10 affaldstyper; den aktuelle tabsrate; den reelt genanvendte mængde; de forventede ændringer som følge af nye ordninger; angivelse af hvilke kilder affaldet forventes at komme fra (hvor ’GBP’ er forventet kannibalisering på allerede korrekt indsamlet affald på </w:t>
      </w:r>
      <w:r w:rsidR="00EE0D73" w:rsidRPr="00674646">
        <w:rPr>
          <w:i/>
          <w:iCs/>
        </w:rPr>
        <w:t>g</w:t>
      </w:r>
      <w:r w:rsidRPr="00674646">
        <w:rPr>
          <w:i/>
          <w:iCs/>
        </w:rPr>
        <w:t xml:space="preserve">enbrugspladserne); den resulterende mængde husstandsindsamlet efter nye ordninger; den forventede tabsrate med den nye fraktionering, og den deraf afledte mængde til reel genanvendelse. </w:t>
      </w:r>
    </w:p>
    <w:p w14:paraId="58930044" w14:textId="77777777" w:rsidR="005C6EE6" w:rsidRPr="005C6EE6" w:rsidRDefault="005C6EE6" w:rsidP="005C6EE6">
      <w:pPr>
        <w:rPr>
          <w:rFonts w:ascii="Verdana" w:hAnsi="Verdana"/>
        </w:rPr>
      </w:pPr>
      <w:r w:rsidRPr="005C6EE6">
        <w:rPr>
          <w:noProof/>
        </w:rPr>
        <w:drawing>
          <wp:inline distT="0" distB="0" distL="0" distR="0" wp14:anchorId="173E2C0D" wp14:editId="472CBB13">
            <wp:extent cx="6120130" cy="1770380"/>
            <wp:effectExtent l="0" t="0" r="0" b="1270"/>
            <wp:docPr id="71" name="Billed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1770380"/>
                    </a:xfrm>
                    <a:prstGeom prst="rect">
                      <a:avLst/>
                    </a:prstGeom>
                    <a:noFill/>
                    <a:ln>
                      <a:noFill/>
                    </a:ln>
                  </pic:spPr>
                </pic:pic>
              </a:graphicData>
            </a:graphic>
          </wp:inline>
        </w:drawing>
      </w:r>
    </w:p>
    <w:p w14:paraId="1A7E14CF" w14:textId="77777777" w:rsidR="005C6EE6" w:rsidRPr="005C6EE6" w:rsidRDefault="005C6EE6" w:rsidP="005C6EE6"/>
    <w:p w14:paraId="71F11673" w14:textId="41EAF933" w:rsidR="005C6EE6" w:rsidRPr="005C6EE6" w:rsidRDefault="005C6EE6" w:rsidP="005C6EE6">
      <w:r w:rsidRPr="005C6EE6">
        <w:lastRenderedPageBreak/>
        <w:t xml:space="preserve">Når tabsraterne for glas og plast er mindre efter 2023 end i dag, skydes det dels en forventet lavere tabsrate ved overgang til særskilt indsamling, dels for plastens vedkommende, at </w:t>
      </w:r>
      <w:r w:rsidR="0029088E">
        <w:t>tabsraten</w:t>
      </w:r>
      <w:r w:rsidRPr="005C6EE6">
        <w:t xml:space="preserve"> lovgivningsmæssigt er sat til max. 40 </w:t>
      </w:r>
      <w:r w:rsidR="0029088E">
        <w:t xml:space="preserve">% </w:t>
      </w:r>
      <w:r w:rsidRPr="005C6EE6">
        <w:t>fra 2022.</w:t>
      </w:r>
    </w:p>
    <w:p w14:paraId="48F71E08" w14:textId="6E66FF94" w:rsidR="005C6EE6" w:rsidRDefault="005C6EE6" w:rsidP="005C6EE6">
      <w:r w:rsidRPr="005C6EE6">
        <w:t>Det forventes at give de i Tabel III.2 anførte mængder af husstandsindsamlet affald i 2025 og 2030, sammenlignet med 2020 (gengivet grafisk i Figur III.1.)</w:t>
      </w:r>
    </w:p>
    <w:p w14:paraId="0067B9BF" w14:textId="77777777" w:rsidR="0029088E" w:rsidRPr="005C6EE6" w:rsidRDefault="0029088E" w:rsidP="005C6EE6"/>
    <w:p w14:paraId="4B47F43E" w14:textId="77777777" w:rsidR="005C6EE6" w:rsidRPr="00674646" w:rsidRDefault="005C6EE6" w:rsidP="005C6EE6">
      <w:pPr>
        <w:rPr>
          <w:i/>
          <w:iCs/>
        </w:rPr>
      </w:pPr>
      <w:r w:rsidRPr="00674646">
        <w:rPr>
          <w:i/>
          <w:iCs/>
        </w:rPr>
        <w:t>Tabel III.2.: Indsamlede og reelt genanvendte mængder i ton/år af de 10 affaldstyper i 2020 og de forventede mængder i 2025 og 2030, samt den reelle genanvendelsesprocent for de tre år.</w:t>
      </w:r>
    </w:p>
    <w:p w14:paraId="2271D879" w14:textId="77777777" w:rsidR="005C6EE6" w:rsidRPr="005C6EE6" w:rsidRDefault="005C6EE6" w:rsidP="005C6EE6">
      <w:pPr>
        <w:rPr>
          <w:rFonts w:ascii="Verdana" w:hAnsi="Verdana"/>
        </w:rPr>
      </w:pPr>
      <w:r w:rsidRPr="005C6EE6">
        <w:rPr>
          <w:noProof/>
        </w:rPr>
        <w:drawing>
          <wp:inline distT="0" distB="0" distL="0" distR="0" wp14:anchorId="1A11A544" wp14:editId="31FDE19E">
            <wp:extent cx="5692140" cy="3337560"/>
            <wp:effectExtent l="0" t="0" r="3810" b="0"/>
            <wp:docPr id="72" name="Billed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92140" cy="3337560"/>
                    </a:xfrm>
                    <a:prstGeom prst="rect">
                      <a:avLst/>
                    </a:prstGeom>
                    <a:noFill/>
                    <a:ln>
                      <a:noFill/>
                    </a:ln>
                  </pic:spPr>
                </pic:pic>
              </a:graphicData>
            </a:graphic>
          </wp:inline>
        </w:drawing>
      </w:r>
    </w:p>
    <w:p w14:paraId="0B19C7FB" w14:textId="77777777" w:rsidR="0029088E" w:rsidRDefault="005C6EE6" w:rsidP="0029088E">
      <w:r w:rsidRPr="00674646">
        <w:rPr>
          <w:i/>
          <w:iCs/>
        </w:rPr>
        <w:t>Figur III.1.: Reelt genanvendt og øvrigt husstandsindsamlet affald i ton/år i 2020, 2025 og 2030.</w:t>
      </w:r>
      <w:r w:rsidRPr="005C6EE6">
        <w:br/>
      </w:r>
      <w:r w:rsidRPr="005C6EE6">
        <w:rPr>
          <w:rFonts w:ascii="Calibri" w:hAnsi="Calibri"/>
          <w:noProof/>
        </w:rPr>
        <w:drawing>
          <wp:inline distT="0" distB="0" distL="0" distR="0" wp14:anchorId="73C541E9" wp14:editId="717E8DD7">
            <wp:extent cx="4572000" cy="2743200"/>
            <wp:effectExtent l="0" t="0" r="0" b="0"/>
            <wp:docPr id="73" name="Diagram 73">
              <a:extLst xmlns:a="http://schemas.openxmlformats.org/drawingml/2006/main">
                <a:ext uri="{FF2B5EF4-FFF2-40B4-BE49-F238E27FC236}">
                  <a16:creationId xmlns:a16="http://schemas.microsoft.com/office/drawing/2014/main" id="{FDBF7623-12F8-4D0F-8D67-DA87FD05FC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CAD2903" w14:textId="6A340179" w:rsidR="005C6EE6" w:rsidRPr="005C6EE6" w:rsidRDefault="005C6EE6" w:rsidP="0029088E">
      <w:r w:rsidRPr="005C6EE6">
        <w:lastRenderedPageBreak/>
        <w:t xml:space="preserve">For Kommunalt affald, indsamlet på </w:t>
      </w:r>
      <w:r w:rsidR="0029088E">
        <w:t>genbrugsplads</w:t>
      </w:r>
      <w:r w:rsidRPr="005C6EE6">
        <w:t>erne, giver det de i Tabel III.3. angivne mængder:</w:t>
      </w:r>
      <w:r w:rsidRPr="005C6EE6">
        <w:br/>
      </w:r>
    </w:p>
    <w:p w14:paraId="0A0B2DF6" w14:textId="77777777" w:rsidR="005C6EE6" w:rsidRPr="00674646" w:rsidRDefault="005C6EE6" w:rsidP="005C6EE6">
      <w:pPr>
        <w:rPr>
          <w:i/>
          <w:iCs/>
        </w:rPr>
      </w:pPr>
      <w:r w:rsidRPr="00674646">
        <w:rPr>
          <w:i/>
          <w:iCs/>
        </w:rPr>
        <w:t>Tabel III.3.: Indsamlede og reelt genanvendte genbrugspladsmængder i ton/år i 2020 og de forventede mængder i 2025 og 2030, samt den reelle genanvendelsesprocent for de tre år.</w:t>
      </w:r>
    </w:p>
    <w:p w14:paraId="69EEEFFC" w14:textId="77777777" w:rsidR="005C6EE6" w:rsidRPr="005C6EE6" w:rsidRDefault="005C6EE6" w:rsidP="005C6EE6">
      <w:pPr>
        <w:rPr>
          <w:rFonts w:ascii="Verdana" w:hAnsi="Verdana"/>
        </w:rPr>
      </w:pPr>
      <w:r w:rsidRPr="005C6EE6">
        <w:rPr>
          <w:noProof/>
        </w:rPr>
        <w:drawing>
          <wp:inline distT="0" distB="0" distL="0" distR="0" wp14:anchorId="1F14573C" wp14:editId="6A636273">
            <wp:extent cx="5646420" cy="6042660"/>
            <wp:effectExtent l="0" t="0" r="0" b="0"/>
            <wp:docPr id="74" name="Billed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46420" cy="6042660"/>
                    </a:xfrm>
                    <a:prstGeom prst="rect">
                      <a:avLst/>
                    </a:prstGeom>
                    <a:noFill/>
                    <a:ln>
                      <a:noFill/>
                    </a:ln>
                  </pic:spPr>
                </pic:pic>
              </a:graphicData>
            </a:graphic>
          </wp:inline>
        </w:drawing>
      </w:r>
    </w:p>
    <w:p w14:paraId="0E798A8A" w14:textId="77777777" w:rsidR="005C6EE6" w:rsidRPr="005C6EE6" w:rsidRDefault="005C6EE6" w:rsidP="005C6EE6"/>
    <w:p w14:paraId="67C48A80" w14:textId="77777777" w:rsidR="005C6EE6" w:rsidRPr="005C6EE6" w:rsidRDefault="005C6EE6" w:rsidP="005C6EE6">
      <w:r w:rsidRPr="005C6EE6">
        <w:t>Hvad angår Bygge- &amp; anlægsaffald på genbrugspladserne forventes ingen forskydninger, ud over en øgning som følge af udviklingen i antallet af boliger. Resultatet fremgår af Tabel III.4.:</w:t>
      </w:r>
    </w:p>
    <w:p w14:paraId="7A023D71" w14:textId="77777777" w:rsidR="005C6EE6" w:rsidRPr="005C6EE6" w:rsidRDefault="005C6EE6" w:rsidP="005C6EE6"/>
    <w:p w14:paraId="42FC1C4D" w14:textId="77777777" w:rsidR="005C6EE6" w:rsidRPr="005C6EE6" w:rsidRDefault="005C6EE6" w:rsidP="005C6EE6"/>
    <w:p w14:paraId="5CD68060" w14:textId="77777777" w:rsidR="005C6EE6" w:rsidRPr="00674646" w:rsidRDefault="005C6EE6" w:rsidP="005C6EE6">
      <w:pPr>
        <w:rPr>
          <w:i/>
          <w:iCs/>
        </w:rPr>
      </w:pPr>
      <w:r w:rsidRPr="00674646">
        <w:rPr>
          <w:i/>
          <w:iCs/>
        </w:rPr>
        <w:lastRenderedPageBreak/>
        <w:t xml:space="preserve">Tabel III.4.: Indsamlede og reelt genanvendte (beregnet under anvendelse af de anførte estimerede tabsrater) mængder af Bygge- og anlægsaffald på genbrugspladserne i ton/år i 2020 og de forventede mængder i 2025 og 2030, samt den reelle genanvendelsesprocent for de tre år. </w:t>
      </w:r>
    </w:p>
    <w:p w14:paraId="2C07CAE1" w14:textId="77777777" w:rsidR="005C6EE6" w:rsidRPr="005C6EE6" w:rsidRDefault="005C6EE6" w:rsidP="005C6EE6">
      <w:pPr>
        <w:rPr>
          <w:rFonts w:ascii="Verdana" w:hAnsi="Verdana"/>
        </w:rPr>
      </w:pPr>
      <w:r w:rsidRPr="005C6EE6">
        <w:rPr>
          <w:noProof/>
        </w:rPr>
        <w:drawing>
          <wp:inline distT="0" distB="0" distL="0" distR="0" wp14:anchorId="01C4C4D3" wp14:editId="74BF8D78">
            <wp:extent cx="6120130" cy="2671445"/>
            <wp:effectExtent l="0" t="0" r="0" b="0"/>
            <wp:docPr id="78" name="Billed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130" cy="2671445"/>
                    </a:xfrm>
                    <a:prstGeom prst="rect">
                      <a:avLst/>
                    </a:prstGeom>
                    <a:noFill/>
                    <a:ln>
                      <a:noFill/>
                    </a:ln>
                  </pic:spPr>
                </pic:pic>
              </a:graphicData>
            </a:graphic>
          </wp:inline>
        </w:drawing>
      </w:r>
    </w:p>
    <w:p w14:paraId="41FED1B6" w14:textId="77777777" w:rsidR="005C6EE6" w:rsidRPr="005C6EE6" w:rsidRDefault="005C6EE6" w:rsidP="005C6EE6">
      <w:r w:rsidRPr="005C6EE6">
        <w:t>Det ikke-genanvendelige erhvervsaffald er – i mangel af bedre - alene fremskrevet ud fra antagelse om, at det følger udviklingen i antal boliger, og resultatet fremgår af Tabel III.5.</w:t>
      </w:r>
    </w:p>
    <w:p w14:paraId="67C000E4" w14:textId="77777777" w:rsidR="005C6EE6" w:rsidRPr="00674646" w:rsidRDefault="005C6EE6" w:rsidP="005C6EE6">
      <w:pPr>
        <w:rPr>
          <w:i/>
          <w:iCs/>
        </w:rPr>
      </w:pPr>
      <w:r w:rsidRPr="00674646">
        <w:rPr>
          <w:i/>
          <w:iCs/>
        </w:rPr>
        <w:t>Tabel III.5.: Mængderne (i ton/år) af ikke-genanvendeligt erhvervsaffald i 2020 og de forventede mængder i 2025 og 2030.</w:t>
      </w:r>
    </w:p>
    <w:p w14:paraId="4BEF197F" w14:textId="77777777" w:rsidR="005C6EE6" w:rsidRPr="005C6EE6" w:rsidRDefault="005C6EE6" w:rsidP="005C6EE6">
      <w:pPr>
        <w:rPr>
          <w:rFonts w:ascii="Verdana" w:hAnsi="Verdana"/>
        </w:rPr>
      </w:pPr>
      <w:r w:rsidRPr="005C6EE6">
        <w:rPr>
          <w:noProof/>
        </w:rPr>
        <w:drawing>
          <wp:inline distT="0" distB="0" distL="0" distR="0" wp14:anchorId="73A324FC" wp14:editId="54CEDA25">
            <wp:extent cx="3726180" cy="1470660"/>
            <wp:effectExtent l="0" t="0" r="7620" b="0"/>
            <wp:docPr id="79" name="Billed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26180" cy="1470660"/>
                    </a:xfrm>
                    <a:prstGeom prst="rect">
                      <a:avLst/>
                    </a:prstGeom>
                    <a:noFill/>
                    <a:ln>
                      <a:noFill/>
                    </a:ln>
                  </pic:spPr>
                </pic:pic>
              </a:graphicData>
            </a:graphic>
          </wp:inline>
        </w:drawing>
      </w:r>
    </w:p>
    <w:p w14:paraId="2EB201D7" w14:textId="77777777" w:rsidR="005C6EE6" w:rsidRPr="005C6EE6" w:rsidRDefault="005C6EE6" w:rsidP="005C6EE6"/>
    <w:p w14:paraId="7FE4CB9B" w14:textId="75F0269C" w:rsidR="005C6EE6" w:rsidRPr="005C6EE6" w:rsidRDefault="005C6EE6" w:rsidP="005C6EE6">
      <w:r w:rsidRPr="005C6EE6">
        <w:t>Alt i alt giver det anledning til de i Tabel III.6. og Figur III.2. anførte mængder, som kommunen forventes at have anvisningspligt for, fordelt på behandlingsform:</w:t>
      </w:r>
    </w:p>
    <w:p w14:paraId="0764073A" w14:textId="0DD99493" w:rsidR="005C6EE6" w:rsidRPr="00674646" w:rsidRDefault="005C6EE6" w:rsidP="005C6EE6">
      <w:pPr>
        <w:rPr>
          <w:i/>
          <w:iCs/>
        </w:rPr>
      </w:pPr>
      <w:r w:rsidRPr="00674646">
        <w:rPr>
          <w:i/>
          <w:iCs/>
        </w:rPr>
        <w:t>Tabel III.6: Mængderne (i ton/år) af affald, som kommunen har anvisningspligt for i 2020 og forventes at få anvisningspligt for i 2025 og 2030</w:t>
      </w:r>
      <w:r w:rsidR="00E51191" w:rsidRPr="00674646">
        <w:rPr>
          <w:i/>
          <w:iCs/>
        </w:rPr>
        <w:t xml:space="preserve"> (medmindre der sker lovændringer f.s.v.a. forbrændingsegnet affald fra erhverv),</w:t>
      </w:r>
      <w:r w:rsidRPr="00674646">
        <w:rPr>
          <w:i/>
          <w:iCs/>
        </w:rPr>
        <w:t xml:space="preserve"> fordelt på behandlingsform:</w:t>
      </w:r>
    </w:p>
    <w:p w14:paraId="2375F0BF" w14:textId="77777777" w:rsidR="005C6EE6" w:rsidRPr="005C6EE6" w:rsidRDefault="005C6EE6" w:rsidP="005C6EE6">
      <w:pPr>
        <w:rPr>
          <w:rFonts w:ascii="Verdana" w:hAnsi="Verdana"/>
        </w:rPr>
      </w:pPr>
      <w:r w:rsidRPr="005C6EE6">
        <w:rPr>
          <w:noProof/>
        </w:rPr>
        <w:drawing>
          <wp:inline distT="0" distB="0" distL="0" distR="0" wp14:anchorId="1E93AE5C" wp14:editId="2294CEFF">
            <wp:extent cx="3726180" cy="1104900"/>
            <wp:effectExtent l="0" t="0" r="7620" b="0"/>
            <wp:docPr id="80" name="Billed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726180" cy="1104900"/>
                    </a:xfrm>
                    <a:prstGeom prst="rect">
                      <a:avLst/>
                    </a:prstGeom>
                    <a:noFill/>
                    <a:ln>
                      <a:noFill/>
                    </a:ln>
                  </pic:spPr>
                </pic:pic>
              </a:graphicData>
            </a:graphic>
          </wp:inline>
        </w:drawing>
      </w:r>
    </w:p>
    <w:p w14:paraId="7EA19D75" w14:textId="77777777" w:rsidR="005C6EE6" w:rsidRPr="00674646" w:rsidRDefault="005C6EE6" w:rsidP="005C6EE6">
      <w:pPr>
        <w:rPr>
          <w:i/>
          <w:iCs/>
        </w:rPr>
      </w:pPr>
      <w:r w:rsidRPr="005C6EE6">
        <w:lastRenderedPageBreak/>
        <w:br/>
      </w:r>
      <w:r w:rsidRPr="00674646">
        <w:rPr>
          <w:i/>
          <w:iCs/>
        </w:rPr>
        <w:t>Figur III.2.: Grafisk gengivelse af Tabel III.6.</w:t>
      </w:r>
    </w:p>
    <w:p w14:paraId="19229C0D" w14:textId="77777777" w:rsidR="005C6EE6" w:rsidRPr="005C6EE6" w:rsidRDefault="005C6EE6" w:rsidP="005C6EE6">
      <w:pPr>
        <w:rPr>
          <w:rFonts w:ascii="Verdana" w:hAnsi="Verdana"/>
        </w:rPr>
      </w:pPr>
      <w:r w:rsidRPr="005C6EE6">
        <w:rPr>
          <w:noProof/>
        </w:rPr>
        <w:drawing>
          <wp:inline distT="0" distB="0" distL="0" distR="0" wp14:anchorId="41D5E2BB" wp14:editId="4567EE75">
            <wp:extent cx="4572000" cy="2743200"/>
            <wp:effectExtent l="0" t="0" r="0" b="0"/>
            <wp:docPr id="81" name="Diagram 81">
              <a:extLst xmlns:a="http://schemas.openxmlformats.org/drawingml/2006/main">
                <a:ext uri="{FF2B5EF4-FFF2-40B4-BE49-F238E27FC236}">
                  <a16:creationId xmlns:a16="http://schemas.microsoft.com/office/drawing/2014/main" id="{D82C62F0-2380-4868-AFA3-112EBD9D51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5FC94CA7" w14:textId="77777777" w:rsidR="005C6EE6" w:rsidRPr="005C6EE6" w:rsidRDefault="005C6EE6" w:rsidP="005C6EE6"/>
    <w:p w14:paraId="488E89C5" w14:textId="77777777" w:rsidR="005C6EE6" w:rsidRPr="005C6EE6" w:rsidRDefault="005C6EE6" w:rsidP="005C6EE6">
      <w:r w:rsidRPr="005C6EE6">
        <w:t>Fordelt på kilder ser det ud som angivet i Tabel III.7. og Figur III.3.:</w:t>
      </w:r>
    </w:p>
    <w:p w14:paraId="1F482203" w14:textId="20ABB3D7" w:rsidR="005C6EE6" w:rsidRPr="00674646" w:rsidRDefault="005C6EE6" w:rsidP="005C6EE6">
      <w:pPr>
        <w:rPr>
          <w:i/>
          <w:iCs/>
        </w:rPr>
      </w:pPr>
      <w:r w:rsidRPr="00674646">
        <w:rPr>
          <w:i/>
          <w:iCs/>
        </w:rPr>
        <w:t>Tabel III.7.: Mængderne (i ton/år) af affald, som kommunen har anvisningspligt for i 2020 og forventes at få anvisningspligt for i 2025 og 2030</w:t>
      </w:r>
      <w:r w:rsidR="00E51191" w:rsidRPr="00674646">
        <w:rPr>
          <w:i/>
          <w:iCs/>
        </w:rPr>
        <w:t xml:space="preserve"> (medmindre der sker lovændringer f.s.v.a. forbrændingsegnet erhvervsaffald)</w:t>
      </w:r>
      <w:r w:rsidRPr="00674646">
        <w:rPr>
          <w:i/>
          <w:iCs/>
        </w:rPr>
        <w:t>, fordelt på kilder:</w:t>
      </w:r>
    </w:p>
    <w:p w14:paraId="2D4D7F98" w14:textId="77777777" w:rsidR="005C6EE6" w:rsidRPr="005C6EE6" w:rsidRDefault="005C6EE6" w:rsidP="005C6EE6">
      <w:pPr>
        <w:rPr>
          <w:rFonts w:ascii="Verdana" w:hAnsi="Verdana"/>
        </w:rPr>
      </w:pPr>
      <w:r w:rsidRPr="005C6EE6">
        <w:rPr>
          <w:noProof/>
        </w:rPr>
        <w:drawing>
          <wp:inline distT="0" distB="0" distL="0" distR="0" wp14:anchorId="3F33E621" wp14:editId="451061D8">
            <wp:extent cx="3726180" cy="1104900"/>
            <wp:effectExtent l="0" t="0" r="7620" b="0"/>
            <wp:docPr id="82" name="Billed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726180" cy="1104900"/>
                    </a:xfrm>
                    <a:prstGeom prst="rect">
                      <a:avLst/>
                    </a:prstGeom>
                    <a:noFill/>
                    <a:ln>
                      <a:noFill/>
                    </a:ln>
                  </pic:spPr>
                </pic:pic>
              </a:graphicData>
            </a:graphic>
          </wp:inline>
        </w:drawing>
      </w:r>
    </w:p>
    <w:p w14:paraId="1124AE08" w14:textId="77777777" w:rsidR="005C6EE6" w:rsidRPr="005C6EE6" w:rsidRDefault="005C6EE6" w:rsidP="005C6EE6"/>
    <w:p w14:paraId="47352B25" w14:textId="77777777" w:rsidR="005C6EE6" w:rsidRPr="005C6EE6" w:rsidRDefault="005C6EE6" w:rsidP="005C6EE6"/>
    <w:p w14:paraId="5DC4F3CB" w14:textId="77777777" w:rsidR="005C6EE6" w:rsidRPr="005C6EE6" w:rsidRDefault="005C6EE6" w:rsidP="005C6EE6"/>
    <w:p w14:paraId="67C9AC47" w14:textId="77777777" w:rsidR="005C6EE6" w:rsidRPr="005C6EE6" w:rsidRDefault="005C6EE6" w:rsidP="005C6EE6"/>
    <w:p w14:paraId="3EE31176" w14:textId="77777777" w:rsidR="005C6EE6" w:rsidRPr="005C6EE6" w:rsidRDefault="005C6EE6" w:rsidP="005C6EE6"/>
    <w:p w14:paraId="1E214F09" w14:textId="77777777" w:rsidR="00674646" w:rsidRDefault="00674646">
      <w:pPr>
        <w:suppressAutoHyphens w:val="0"/>
        <w:autoSpaceDN/>
        <w:spacing w:after="200" w:line="276" w:lineRule="auto"/>
        <w:textAlignment w:val="auto"/>
      </w:pPr>
      <w:r>
        <w:br w:type="page"/>
      </w:r>
    </w:p>
    <w:p w14:paraId="2821A466" w14:textId="190634B9" w:rsidR="005C6EE6" w:rsidRPr="00674646" w:rsidRDefault="005C6EE6" w:rsidP="005C6EE6">
      <w:pPr>
        <w:rPr>
          <w:i/>
          <w:iCs/>
        </w:rPr>
      </w:pPr>
      <w:r w:rsidRPr="00674646">
        <w:rPr>
          <w:i/>
          <w:iCs/>
        </w:rPr>
        <w:lastRenderedPageBreak/>
        <w:t>Figur III.3.: Grafisk gengivelse af Tabel III.7.</w:t>
      </w:r>
    </w:p>
    <w:p w14:paraId="2DACB04D" w14:textId="77777777" w:rsidR="005C6EE6" w:rsidRPr="005C6EE6" w:rsidRDefault="005C6EE6" w:rsidP="005C6EE6">
      <w:pPr>
        <w:rPr>
          <w:rFonts w:ascii="Verdana" w:hAnsi="Verdana"/>
        </w:rPr>
      </w:pPr>
      <w:r w:rsidRPr="005C6EE6">
        <w:rPr>
          <w:noProof/>
        </w:rPr>
        <w:drawing>
          <wp:inline distT="0" distB="0" distL="0" distR="0" wp14:anchorId="20867DDA" wp14:editId="6296DAA0">
            <wp:extent cx="4572000" cy="3158493"/>
            <wp:effectExtent l="0" t="0" r="0" b="3810"/>
            <wp:docPr id="83" name="Diagram 83">
              <a:extLst xmlns:a="http://schemas.openxmlformats.org/drawingml/2006/main">
                <a:ext uri="{FF2B5EF4-FFF2-40B4-BE49-F238E27FC236}">
                  <a16:creationId xmlns:a16="http://schemas.microsoft.com/office/drawing/2014/main" id="{FF1E20A7-573E-4399-8C21-25E9F2ABC2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54F44C3E" w14:textId="77777777" w:rsidR="005C6EE6" w:rsidRPr="005C6EE6" w:rsidRDefault="005C6EE6" w:rsidP="005C6EE6"/>
    <w:p w14:paraId="3B1DD14C" w14:textId="77777777" w:rsidR="005C6EE6" w:rsidRPr="005C6EE6" w:rsidRDefault="005C6EE6" w:rsidP="005C6EE6">
      <w:pPr>
        <w:rPr>
          <w:rFonts w:ascii="Calibri Light" w:eastAsia="Times New Roman" w:hAnsi="Calibri Light"/>
          <w:color w:val="2E74B5"/>
          <w:sz w:val="26"/>
          <w:szCs w:val="26"/>
        </w:rPr>
      </w:pPr>
      <w:r w:rsidRPr="005C6EE6">
        <w:br w:type="page"/>
      </w:r>
    </w:p>
    <w:p w14:paraId="21455035" w14:textId="77777777" w:rsidR="00C56A8A" w:rsidRPr="00AC30B5" w:rsidRDefault="00E51191" w:rsidP="00AC30B5">
      <w:pPr>
        <w:rPr>
          <w:b/>
          <w:bCs/>
          <w:caps/>
          <w:sz w:val="28"/>
          <w:szCs w:val="28"/>
        </w:rPr>
      </w:pPr>
      <w:bookmarkStart w:id="522" w:name="_Toc76126091"/>
      <w:r w:rsidRPr="00AC30B5">
        <w:rPr>
          <w:b/>
          <w:bCs/>
          <w:sz w:val="28"/>
          <w:szCs w:val="28"/>
        </w:rPr>
        <w:lastRenderedPageBreak/>
        <w:t>Bilag IV: Klima-effekterne af affaldshåndteringen nu og i fremtiden.</w:t>
      </w:r>
    </w:p>
    <w:p w14:paraId="581B1312" w14:textId="53D80504" w:rsidR="00E51191" w:rsidRPr="00734304" w:rsidRDefault="00E51191" w:rsidP="00AC30B5">
      <w:r w:rsidRPr="00734304">
        <w:br/>
      </w:r>
      <w:r w:rsidRPr="00674646">
        <w:rPr>
          <w:i/>
          <w:iCs/>
        </w:rPr>
        <w:t>Tabel IV.1. CO2-fortrængning ved genanvendelse, historisk:</w:t>
      </w:r>
      <w:r w:rsidRPr="00734304">
        <w:br/>
      </w:r>
      <w:r w:rsidRPr="00734304">
        <w:rPr>
          <w:noProof/>
        </w:rPr>
        <w:drawing>
          <wp:inline distT="0" distB="0" distL="0" distR="0" wp14:anchorId="62B685D8" wp14:editId="0F39A4E2">
            <wp:extent cx="4989789" cy="7493330"/>
            <wp:effectExtent l="0" t="0" r="1905"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003416" cy="7513794"/>
                    </a:xfrm>
                    <a:prstGeom prst="rect">
                      <a:avLst/>
                    </a:prstGeom>
                    <a:noFill/>
                    <a:ln>
                      <a:noFill/>
                    </a:ln>
                  </pic:spPr>
                </pic:pic>
              </a:graphicData>
            </a:graphic>
          </wp:inline>
        </w:drawing>
      </w:r>
    </w:p>
    <w:p w14:paraId="21B77B8C" w14:textId="77777777" w:rsidR="00E51191" w:rsidRPr="00734304" w:rsidRDefault="00E51191" w:rsidP="00E51191">
      <w:r w:rsidRPr="00734304">
        <w:lastRenderedPageBreak/>
        <w:br/>
        <w:t>Hvor intet andet er anført, er CO2-faktorer baseret på MIM 2021. Noter næste side.</w:t>
      </w:r>
    </w:p>
    <w:p w14:paraId="170B73D1" w14:textId="77777777" w:rsidR="00E51191" w:rsidRPr="00734304" w:rsidRDefault="00E51191" w:rsidP="00E51191">
      <w:r w:rsidRPr="00734304">
        <w:t>Noter til Tabel IV.1.:</w:t>
      </w:r>
    </w:p>
    <w:p w14:paraId="2D66D71E" w14:textId="77777777" w:rsidR="00E51191" w:rsidRPr="00734304" w:rsidRDefault="00E51191" w:rsidP="00E51191">
      <w:r w:rsidRPr="00734304">
        <w:t>1) Beregnet ud fra MIM 2021</w:t>
      </w:r>
    </w:p>
    <w:p w14:paraId="5D576A98" w14:textId="77777777" w:rsidR="00E51191" w:rsidRPr="00734304" w:rsidRDefault="00E51191" w:rsidP="00E51191">
      <w:r w:rsidRPr="00734304">
        <w:t>2) DTU &amp; SDU, 2011</w:t>
      </w:r>
    </w:p>
    <w:p w14:paraId="7DA13B1B" w14:textId="77777777" w:rsidR="00E51191" w:rsidRPr="00734304" w:rsidRDefault="00E51191" w:rsidP="00E51191">
      <w:r w:rsidRPr="00734304">
        <w:t>3) Antaget 10% alu</w:t>
      </w:r>
    </w:p>
    <w:p w14:paraId="2D657E9C" w14:textId="77777777" w:rsidR="00E51191" w:rsidRPr="00734304" w:rsidRDefault="00E51191" w:rsidP="00E51191">
      <w:r w:rsidRPr="00734304">
        <w:t>4) Turner et al. 2015</w:t>
      </w:r>
    </w:p>
    <w:p w14:paraId="29B6EDA1" w14:textId="77777777" w:rsidR="00E51191" w:rsidRPr="00734304" w:rsidRDefault="00E51191" w:rsidP="00E51191">
      <w:r w:rsidRPr="00734304">
        <w:t>5) Regnet som træ</w:t>
      </w:r>
    </w:p>
    <w:p w14:paraId="69C713D9" w14:textId="77777777" w:rsidR="00E51191" w:rsidRPr="00734304" w:rsidRDefault="00E51191" w:rsidP="00E51191">
      <w:r w:rsidRPr="00734304">
        <w:t>6) Beregnet ud fra Turner et al 2015</w:t>
      </w:r>
    </w:p>
    <w:p w14:paraId="15516E49" w14:textId="77777777" w:rsidR="00E51191" w:rsidRPr="00734304" w:rsidRDefault="00E51191" w:rsidP="00E51191">
      <w:r w:rsidRPr="00734304">
        <w:t>7) Antaget</w:t>
      </w:r>
    </w:p>
    <w:p w14:paraId="7000A30F" w14:textId="77777777" w:rsidR="00E51191" w:rsidRPr="00734304" w:rsidRDefault="00E51191" w:rsidP="00E51191">
      <w:r w:rsidRPr="00734304">
        <w:t>8) Nyeste estimat fra MIM 2021</w:t>
      </w:r>
    </w:p>
    <w:p w14:paraId="637C6DA9" w14:textId="77777777" w:rsidR="00E51191" w:rsidRPr="00734304" w:rsidRDefault="00E51191" w:rsidP="00E51191">
      <w:r w:rsidRPr="00734304">
        <w:t>9) Deponeres</w:t>
      </w:r>
    </w:p>
    <w:p w14:paraId="3787C5EF" w14:textId="77777777" w:rsidR="00E51191" w:rsidRPr="00734304" w:rsidRDefault="00E51191" w:rsidP="00E51191">
      <w:r w:rsidRPr="00734304">
        <w:t>10) Forbrændes</w:t>
      </w:r>
    </w:p>
    <w:p w14:paraId="6EC13DFC" w14:textId="77777777" w:rsidR="00E51191" w:rsidRPr="00734304" w:rsidRDefault="00E51191" w:rsidP="00E51191">
      <w:r w:rsidRPr="00734304">
        <w:t>11) CO2-gevinsten antages at blive udlignet ved logistik-emissioner</w:t>
      </w:r>
    </w:p>
    <w:p w14:paraId="0673D66D" w14:textId="77777777" w:rsidR="00E51191" w:rsidRPr="00734304" w:rsidRDefault="00E51191" w:rsidP="00E51191">
      <w:r w:rsidRPr="00734304">
        <w:t>12) Antaget som plast</w:t>
      </w:r>
    </w:p>
    <w:p w14:paraId="24F5BA0A" w14:textId="77777777" w:rsidR="00E51191" w:rsidRPr="00734304" w:rsidRDefault="00E51191" w:rsidP="00E51191">
      <w:r w:rsidRPr="00734304">
        <w:t>13) Beregnet ud fra MST 2018 og Ma et al 2019</w:t>
      </w:r>
    </w:p>
    <w:p w14:paraId="01EECC15" w14:textId="77777777" w:rsidR="00E51191" w:rsidRPr="00734304" w:rsidRDefault="00E51191" w:rsidP="00E51191">
      <w:r w:rsidRPr="00734304">
        <w:t>14) Ersatter tilslag i beton og regnet som knus.</w:t>
      </w:r>
    </w:p>
    <w:p w14:paraId="4117E8D1" w14:textId="77777777" w:rsidR="00E51191" w:rsidRPr="00734304" w:rsidRDefault="00E51191" w:rsidP="00E51191">
      <w:r w:rsidRPr="00734304">
        <w:t xml:space="preserve">15) Erstatter stenmateriale i produktion af isoleringsmaterale, og regnet som knus.2) </w:t>
      </w:r>
    </w:p>
    <w:p w14:paraId="4D4B73B1" w14:textId="77777777" w:rsidR="00E51191" w:rsidRPr="00734304" w:rsidRDefault="00E51191" w:rsidP="00E51191"/>
    <w:p w14:paraId="62A22F01" w14:textId="77777777" w:rsidR="00E51191" w:rsidRPr="00734304" w:rsidRDefault="00E51191" w:rsidP="00E51191">
      <w:r w:rsidRPr="00734304">
        <w:t>Referencer til Tabel IV.1.:</w:t>
      </w:r>
    </w:p>
    <w:p w14:paraId="02F2342D" w14:textId="77777777" w:rsidR="00E51191" w:rsidRPr="00734304" w:rsidRDefault="00E51191" w:rsidP="00E51191">
      <w:r w:rsidRPr="00734304">
        <w:t>DTU &amp; SDU (2011) CO2-opgørelser i den danske affaldsbranche – en vejledning. DAKOFAs hjemmeside: https://dakofa.dk/vidensbank/energi-klima/co2-opgoerelser-i-den-danske-affaldsbranche-en-vejledning/</w:t>
      </w:r>
    </w:p>
    <w:p w14:paraId="20C84AA9" w14:textId="77777777" w:rsidR="00E51191" w:rsidRPr="00734304" w:rsidRDefault="00E51191" w:rsidP="00E51191">
      <w:pPr>
        <w:rPr>
          <w:lang w:val="en-US"/>
        </w:rPr>
      </w:pPr>
      <w:r w:rsidRPr="00734304">
        <w:rPr>
          <w:lang w:val="en-US"/>
        </w:rPr>
        <w:t xml:space="preserve">Ma, Feng &amp; Sha, Aimin &amp; Lin, Ruiyu &amp; Huang, Yue &amp; Wang, Chao. (2016). Greenhouse Gas Emissions from Asphalt Pavement Construction: A Case Study in China. </w:t>
      </w:r>
      <w:r w:rsidRPr="00734304">
        <w:rPr>
          <w:i/>
          <w:iCs/>
          <w:lang w:val="en-US"/>
        </w:rPr>
        <w:t>International Journal of Environmental Research and Public Health</w:t>
      </w:r>
      <w:r w:rsidRPr="00734304">
        <w:rPr>
          <w:lang w:val="en-US"/>
        </w:rPr>
        <w:t xml:space="preserve">. </w:t>
      </w:r>
      <w:r w:rsidRPr="00734304">
        <w:rPr>
          <w:b/>
          <w:bCs/>
          <w:lang w:val="en-US"/>
        </w:rPr>
        <w:t>13.</w:t>
      </w:r>
      <w:r w:rsidRPr="00734304">
        <w:rPr>
          <w:lang w:val="en-US"/>
        </w:rPr>
        <w:t xml:space="preserve"> 351. 10.3390/ijerph13030351.</w:t>
      </w:r>
      <w:r w:rsidRPr="00734304">
        <w:rPr>
          <w:lang w:val="en-US"/>
        </w:rPr>
        <w:tab/>
      </w:r>
      <w:r w:rsidRPr="00734304">
        <w:rPr>
          <w:lang w:val="en-US"/>
        </w:rPr>
        <w:tab/>
      </w:r>
      <w:r w:rsidRPr="00734304">
        <w:rPr>
          <w:lang w:val="en-US"/>
        </w:rPr>
        <w:tab/>
      </w:r>
    </w:p>
    <w:p w14:paraId="3EE50499" w14:textId="77777777" w:rsidR="00E51191" w:rsidRPr="00734304" w:rsidRDefault="00E51191" w:rsidP="00E51191">
      <w:pPr>
        <w:rPr>
          <w:lang w:val="en-US"/>
        </w:rPr>
      </w:pPr>
      <w:r w:rsidRPr="00734304">
        <w:rPr>
          <w:lang w:val="en-US"/>
        </w:rPr>
        <w:t>Miljøstyrelsen (2018) Cirkulær Asfaltproduktion i Danmark. MUDP-Projekt, oktober 2018: https://www2.mst.dk/Udgiv/publikationer/2018/10/978-87-93710-95-5.pdf</w:t>
      </w:r>
    </w:p>
    <w:p w14:paraId="72EE2BD5" w14:textId="77777777" w:rsidR="00E51191" w:rsidRPr="00734304" w:rsidRDefault="00E51191" w:rsidP="00E51191">
      <w:r w:rsidRPr="00734304">
        <w:t>Miljøministeriet (2021) Handlingsplan for cirkulær økonomi – National plan for forebyggelse og håndtering af affald 2020-2032</w:t>
      </w:r>
      <w:r w:rsidRPr="00734304">
        <w:tab/>
      </w:r>
      <w:r w:rsidRPr="00734304">
        <w:tab/>
      </w:r>
    </w:p>
    <w:p w14:paraId="36148ACF" w14:textId="77777777" w:rsidR="00E51191" w:rsidRPr="00734304" w:rsidRDefault="00E51191" w:rsidP="00E51191">
      <w:r w:rsidRPr="00734304">
        <w:t>SBI (2019) Livscyklusvurdering for cirkulære løsninger med fokus på klimapåvirkning. Forundersøgelse. Forskning i det byggede miljø, SBi 2019:08 Polyteknisk Boghandel og Forlag ApS 2019</w:t>
      </w:r>
      <w:r w:rsidRPr="00734304">
        <w:tab/>
      </w:r>
    </w:p>
    <w:p w14:paraId="4D1DE790" w14:textId="77777777" w:rsidR="00E51191" w:rsidRPr="00734304" w:rsidRDefault="00E51191" w:rsidP="00E51191">
      <w:r w:rsidRPr="00734304">
        <w:rPr>
          <w:lang w:val="en-US"/>
        </w:rPr>
        <w:t xml:space="preserve">Turner, D.A., Williams, I.D. &amp; Kem, S. (2015) Greenhouse gas emission factors for recycling of source-segregated waste materials. </w:t>
      </w:r>
      <w:r w:rsidRPr="00734304">
        <w:rPr>
          <w:i/>
          <w:iCs/>
        </w:rPr>
        <w:t>Resources, Conservation and Recycling</w:t>
      </w:r>
      <w:r w:rsidRPr="00734304">
        <w:t xml:space="preserve"> </w:t>
      </w:r>
      <w:r w:rsidRPr="00734304">
        <w:rPr>
          <w:b/>
          <w:bCs/>
        </w:rPr>
        <w:t>105</w:t>
      </w:r>
      <w:r w:rsidRPr="00734304">
        <w:t xml:space="preserve">, 186–197 </w:t>
      </w:r>
    </w:p>
    <w:p w14:paraId="0F495A47" w14:textId="77777777" w:rsidR="00E51191" w:rsidRPr="00734304" w:rsidRDefault="00E51191" w:rsidP="00E51191">
      <w:r w:rsidRPr="00734304">
        <w:lastRenderedPageBreak/>
        <w:t>På baggrund af Tabel IV.1. er det i Tabel IV.2. og Figur IV.1. opgjort, hvor meget CO2 den reelle genanvendelse fortrængte i ton de enkelte år historisk:</w:t>
      </w:r>
    </w:p>
    <w:p w14:paraId="6B53ADE9" w14:textId="77777777" w:rsidR="00674646" w:rsidRDefault="00674646" w:rsidP="00E51191">
      <w:pPr>
        <w:rPr>
          <w:i/>
          <w:iCs/>
        </w:rPr>
      </w:pPr>
    </w:p>
    <w:p w14:paraId="3A768BDB" w14:textId="0C59C7D3" w:rsidR="00E51191" w:rsidRPr="00674646" w:rsidRDefault="00E51191" w:rsidP="00E51191">
      <w:pPr>
        <w:rPr>
          <w:i/>
          <w:iCs/>
        </w:rPr>
      </w:pPr>
      <w:r w:rsidRPr="00734304">
        <w:rPr>
          <w:i/>
          <w:iCs/>
        </w:rPr>
        <w:t>Tabel IV.2.: Den fortrængte mængde CO2 (i ton/år) som resultat af den reelle genanvendelse af husstandsindsamlet affald, kommunalt affald indsamlet på genbrugspladser og bygge- og anlægsaffald indsamlet på genbrugspladser i 2014 og i perioden 2017-2020.</w:t>
      </w:r>
    </w:p>
    <w:tbl>
      <w:tblPr>
        <w:tblStyle w:val="Tabel-Gitter"/>
        <w:tblW w:w="0" w:type="auto"/>
        <w:tblLook w:val="04A0" w:firstRow="1" w:lastRow="0" w:firstColumn="1" w:lastColumn="0" w:noHBand="0" w:noVBand="1"/>
      </w:tblPr>
      <w:tblGrid>
        <w:gridCol w:w="2936"/>
        <w:gridCol w:w="956"/>
        <w:gridCol w:w="956"/>
        <w:gridCol w:w="956"/>
        <w:gridCol w:w="956"/>
        <w:gridCol w:w="956"/>
      </w:tblGrid>
      <w:tr w:rsidR="00E51191" w:rsidRPr="00734304" w14:paraId="39EDAE97" w14:textId="77777777" w:rsidTr="00E51191">
        <w:trPr>
          <w:trHeight w:val="300"/>
        </w:trPr>
        <w:tc>
          <w:tcPr>
            <w:tcW w:w="2936" w:type="dxa"/>
            <w:noWrap/>
            <w:hideMark/>
          </w:tcPr>
          <w:p w14:paraId="70E02467" w14:textId="77777777" w:rsidR="00E51191" w:rsidRPr="00734304" w:rsidRDefault="00E51191" w:rsidP="00E51191">
            <w:pPr>
              <w:rPr>
                <w:b/>
                <w:bCs/>
              </w:rPr>
            </w:pPr>
            <w:r w:rsidRPr="00734304">
              <w:rPr>
                <w:b/>
                <w:bCs/>
              </w:rPr>
              <w:t>Ton CO2/år</w:t>
            </w:r>
          </w:p>
        </w:tc>
        <w:tc>
          <w:tcPr>
            <w:tcW w:w="956" w:type="dxa"/>
            <w:noWrap/>
            <w:hideMark/>
          </w:tcPr>
          <w:p w14:paraId="61E16712" w14:textId="77777777" w:rsidR="00E51191" w:rsidRPr="00734304" w:rsidRDefault="00E51191" w:rsidP="00E51191">
            <w:pPr>
              <w:rPr>
                <w:b/>
                <w:bCs/>
              </w:rPr>
            </w:pPr>
            <w:r w:rsidRPr="00734304">
              <w:rPr>
                <w:b/>
                <w:bCs/>
              </w:rPr>
              <w:t>2014</w:t>
            </w:r>
          </w:p>
        </w:tc>
        <w:tc>
          <w:tcPr>
            <w:tcW w:w="956" w:type="dxa"/>
            <w:noWrap/>
            <w:hideMark/>
          </w:tcPr>
          <w:p w14:paraId="1F3C0DDC" w14:textId="77777777" w:rsidR="00E51191" w:rsidRPr="00734304" w:rsidRDefault="00E51191" w:rsidP="00E51191">
            <w:pPr>
              <w:rPr>
                <w:b/>
                <w:bCs/>
              </w:rPr>
            </w:pPr>
            <w:r w:rsidRPr="00734304">
              <w:rPr>
                <w:b/>
                <w:bCs/>
              </w:rPr>
              <w:t>2017</w:t>
            </w:r>
          </w:p>
        </w:tc>
        <w:tc>
          <w:tcPr>
            <w:tcW w:w="956" w:type="dxa"/>
            <w:noWrap/>
            <w:hideMark/>
          </w:tcPr>
          <w:p w14:paraId="5DEC6F1C" w14:textId="77777777" w:rsidR="00E51191" w:rsidRPr="00734304" w:rsidRDefault="00E51191" w:rsidP="00E51191">
            <w:pPr>
              <w:rPr>
                <w:b/>
                <w:bCs/>
              </w:rPr>
            </w:pPr>
            <w:r w:rsidRPr="00734304">
              <w:rPr>
                <w:b/>
                <w:bCs/>
              </w:rPr>
              <w:t>2018</w:t>
            </w:r>
          </w:p>
        </w:tc>
        <w:tc>
          <w:tcPr>
            <w:tcW w:w="956" w:type="dxa"/>
            <w:noWrap/>
            <w:hideMark/>
          </w:tcPr>
          <w:p w14:paraId="526F7C3B" w14:textId="77777777" w:rsidR="00E51191" w:rsidRPr="00734304" w:rsidRDefault="00E51191" w:rsidP="00E51191">
            <w:pPr>
              <w:rPr>
                <w:b/>
                <w:bCs/>
              </w:rPr>
            </w:pPr>
            <w:r w:rsidRPr="00734304">
              <w:rPr>
                <w:b/>
                <w:bCs/>
              </w:rPr>
              <w:t>2019</w:t>
            </w:r>
          </w:p>
        </w:tc>
        <w:tc>
          <w:tcPr>
            <w:tcW w:w="956" w:type="dxa"/>
            <w:noWrap/>
            <w:hideMark/>
          </w:tcPr>
          <w:p w14:paraId="19FDD554" w14:textId="77777777" w:rsidR="00E51191" w:rsidRPr="00734304" w:rsidRDefault="00E51191" w:rsidP="00E51191">
            <w:pPr>
              <w:rPr>
                <w:b/>
                <w:bCs/>
              </w:rPr>
            </w:pPr>
            <w:r w:rsidRPr="00734304">
              <w:rPr>
                <w:b/>
                <w:bCs/>
              </w:rPr>
              <w:t>2020</w:t>
            </w:r>
          </w:p>
        </w:tc>
      </w:tr>
      <w:tr w:rsidR="00E51191" w:rsidRPr="00734304" w14:paraId="3C112A20" w14:textId="77777777" w:rsidTr="00E51191">
        <w:trPr>
          <w:trHeight w:val="300"/>
        </w:trPr>
        <w:tc>
          <w:tcPr>
            <w:tcW w:w="2936" w:type="dxa"/>
            <w:noWrap/>
            <w:hideMark/>
          </w:tcPr>
          <w:p w14:paraId="6E4F9DBC" w14:textId="77777777" w:rsidR="00E51191" w:rsidRPr="00734304" w:rsidRDefault="00E51191" w:rsidP="00E51191">
            <w:r w:rsidRPr="00734304">
              <w:t>Husstandsinds.</w:t>
            </w:r>
          </w:p>
        </w:tc>
        <w:tc>
          <w:tcPr>
            <w:tcW w:w="956" w:type="dxa"/>
            <w:noWrap/>
            <w:hideMark/>
          </w:tcPr>
          <w:p w14:paraId="7F632F0D" w14:textId="77777777" w:rsidR="00E51191" w:rsidRPr="00734304" w:rsidRDefault="00E51191" w:rsidP="00E51191">
            <w:pPr>
              <w:jc w:val="right"/>
            </w:pPr>
            <w:r w:rsidRPr="00734304">
              <w:t xml:space="preserve"> 3.113 </w:t>
            </w:r>
          </w:p>
        </w:tc>
        <w:tc>
          <w:tcPr>
            <w:tcW w:w="956" w:type="dxa"/>
            <w:noWrap/>
            <w:hideMark/>
          </w:tcPr>
          <w:p w14:paraId="1B110C5F" w14:textId="77777777" w:rsidR="00E51191" w:rsidRPr="00734304" w:rsidRDefault="00E51191" w:rsidP="00E51191">
            <w:pPr>
              <w:jc w:val="right"/>
            </w:pPr>
            <w:r w:rsidRPr="00734304">
              <w:t xml:space="preserve"> 2.825 </w:t>
            </w:r>
          </w:p>
        </w:tc>
        <w:tc>
          <w:tcPr>
            <w:tcW w:w="956" w:type="dxa"/>
            <w:noWrap/>
            <w:hideMark/>
          </w:tcPr>
          <w:p w14:paraId="78145BB8" w14:textId="77777777" w:rsidR="00E51191" w:rsidRPr="00734304" w:rsidRDefault="00E51191" w:rsidP="00E51191">
            <w:pPr>
              <w:jc w:val="right"/>
            </w:pPr>
            <w:r w:rsidRPr="00734304">
              <w:t xml:space="preserve"> 2.758 </w:t>
            </w:r>
          </w:p>
        </w:tc>
        <w:tc>
          <w:tcPr>
            <w:tcW w:w="956" w:type="dxa"/>
            <w:noWrap/>
            <w:hideMark/>
          </w:tcPr>
          <w:p w14:paraId="400F9F6D" w14:textId="77777777" w:rsidR="00E51191" w:rsidRPr="00734304" w:rsidRDefault="00E51191" w:rsidP="00E51191">
            <w:pPr>
              <w:jc w:val="right"/>
            </w:pPr>
            <w:r w:rsidRPr="00734304">
              <w:t xml:space="preserve"> 4.000 </w:t>
            </w:r>
          </w:p>
        </w:tc>
        <w:tc>
          <w:tcPr>
            <w:tcW w:w="956" w:type="dxa"/>
            <w:noWrap/>
            <w:hideMark/>
          </w:tcPr>
          <w:p w14:paraId="3263DC8F" w14:textId="77777777" w:rsidR="00E51191" w:rsidRPr="00734304" w:rsidRDefault="00E51191" w:rsidP="00E51191">
            <w:pPr>
              <w:jc w:val="right"/>
            </w:pPr>
            <w:r w:rsidRPr="00734304">
              <w:t xml:space="preserve"> 3.941 </w:t>
            </w:r>
          </w:p>
        </w:tc>
      </w:tr>
      <w:tr w:rsidR="00E51191" w:rsidRPr="00734304" w14:paraId="5EFB73AD" w14:textId="77777777" w:rsidTr="00E51191">
        <w:trPr>
          <w:trHeight w:val="300"/>
        </w:trPr>
        <w:tc>
          <w:tcPr>
            <w:tcW w:w="2936" w:type="dxa"/>
            <w:noWrap/>
            <w:hideMark/>
          </w:tcPr>
          <w:p w14:paraId="7989CEBC" w14:textId="77777777" w:rsidR="00E51191" w:rsidRPr="00734304" w:rsidRDefault="00E51191" w:rsidP="00E51191">
            <w:r w:rsidRPr="00734304">
              <w:t>Kommunalt, GBP</w:t>
            </w:r>
          </w:p>
        </w:tc>
        <w:tc>
          <w:tcPr>
            <w:tcW w:w="956" w:type="dxa"/>
            <w:noWrap/>
            <w:hideMark/>
          </w:tcPr>
          <w:p w14:paraId="36CCFC95" w14:textId="77777777" w:rsidR="00E51191" w:rsidRPr="00734304" w:rsidRDefault="00E51191" w:rsidP="00E51191">
            <w:pPr>
              <w:jc w:val="right"/>
            </w:pPr>
            <w:r w:rsidRPr="00734304">
              <w:t xml:space="preserve"> 7.543 </w:t>
            </w:r>
          </w:p>
        </w:tc>
        <w:tc>
          <w:tcPr>
            <w:tcW w:w="956" w:type="dxa"/>
            <w:noWrap/>
            <w:hideMark/>
          </w:tcPr>
          <w:p w14:paraId="7102A463" w14:textId="77777777" w:rsidR="00E51191" w:rsidRPr="00734304" w:rsidRDefault="00E51191" w:rsidP="00E51191">
            <w:pPr>
              <w:jc w:val="right"/>
            </w:pPr>
            <w:r w:rsidRPr="00734304">
              <w:t xml:space="preserve"> 8.604 </w:t>
            </w:r>
          </w:p>
        </w:tc>
        <w:tc>
          <w:tcPr>
            <w:tcW w:w="956" w:type="dxa"/>
            <w:noWrap/>
            <w:hideMark/>
          </w:tcPr>
          <w:p w14:paraId="0D695604" w14:textId="77777777" w:rsidR="00E51191" w:rsidRPr="00734304" w:rsidRDefault="00E51191" w:rsidP="00E51191">
            <w:pPr>
              <w:jc w:val="right"/>
            </w:pPr>
            <w:r w:rsidRPr="00734304">
              <w:t xml:space="preserve"> 8.689 </w:t>
            </w:r>
          </w:p>
        </w:tc>
        <w:tc>
          <w:tcPr>
            <w:tcW w:w="956" w:type="dxa"/>
            <w:noWrap/>
            <w:hideMark/>
          </w:tcPr>
          <w:p w14:paraId="1D15883C" w14:textId="77777777" w:rsidR="00E51191" w:rsidRPr="00734304" w:rsidRDefault="00E51191" w:rsidP="00E51191">
            <w:pPr>
              <w:jc w:val="right"/>
            </w:pPr>
            <w:r w:rsidRPr="00734304">
              <w:t xml:space="preserve"> 7.969 </w:t>
            </w:r>
          </w:p>
        </w:tc>
        <w:tc>
          <w:tcPr>
            <w:tcW w:w="956" w:type="dxa"/>
            <w:noWrap/>
            <w:hideMark/>
          </w:tcPr>
          <w:p w14:paraId="5E1822C9" w14:textId="77777777" w:rsidR="00E51191" w:rsidRPr="00734304" w:rsidRDefault="00E51191" w:rsidP="00E51191">
            <w:pPr>
              <w:jc w:val="right"/>
            </w:pPr>
            <w:r w:rsidRPr="00734304">
              <w:t xml:space="preserve">10.042 </w:t>
            </w:r>
          </w:p>
        </w:tc>
      </w:tr>
      <w:tr w:rsidR="00E51191" w:rsidRPr="00734304" w14:paraId="50929124" w14:textId="77777777" w:rsidTr="00E51191">
        <w:trPr>
          <w:trHeight w:val="300"/>
        </w:trPr>
        <w:tc>
          <w:tcPr>
            <w:tcW w:w="2936" w:type="dxa"/>
            <w:noWrap/>
            <w:hideMark/>
          </w:tcPr>
          <w:p w14:paraId="6F919AF2" w14:textId="77777777" w:rsidR="00E51191" w:rsidRPr="00734304" w:rsidRDefault="00E51191" w:rsidP="00E51191">
            <w:r w:rsidRPr="00734304">
              <w:t>Bygge- &amp; Anlæg, GBP</w:t>
            </w:r>
          </w:p>
        </w:tc>
        <w:tc>
          <w:tcPr>
            <w:tcW w:w="956" w:type="dxa"/>
            <w:noWrap/>
            <w:hideMark/>
          </w:tcPr>
          <w:p w14:paraId="3FF233B8" w14:textId="77777777" w:rsidR="00E51191" w:rsidRPr="00734304" w:rsidRDefault="00E51191" w:rsidP="00E51191">
            <w:pPr>
              <w:jc w:val="right"/>
            </w:pPr>
            <w:r w:rsidRPr="00734304">
              <w:t xml:space="preserve"> 79,0 </w:t>
            </w:r>
          </w:p>
        </w:tc>
        <w:tc>
          <w:tcPr>
            <w:tcW w:w="956" w:type="dxa"/>
            <w:noWrap/>
            <w:hideMark/>
          </w:tcPr>
          <w:p w14:paraId="49B6F2C9" w14:textId="77777777" w:rsidR="00E51191" w:rsidRPr="00734304" w:rsidRDefault="00E51191" w:rsidP="00E51191">
            <w:pPr>
              <w:jc w:val="right"/>
            </w:pPr>
            <w:r w:rsidRPr="00734304">
              <w:t xml:space="preserve"> 97,1 </w:t>
            </w:r>
          </w:p>
        </w:tc>
        <w:tc>
          <w:tcPr>
            <w:tcW w:w="956" w:type="dxa"/>
            <w:noWrap/>
            <w:hideMark/>
          </w:tcPr>
          <w:p w14:paraId="0A8CD3CD" w14:textId="77777777" w:rsidR="00E51191" w:rsidRPr="00734304" w:rsidRDefault="00E51191" w:rsidP="00E51191">
            <w:pPr>
              <w:jc w:val="right"/>
            </w:pPr>
            <w:r w:rsidRPr="00734304">
              <w:t xml:space="preserve"> 76,9 </w:t>
            </w:r>
          </w:p>
        </w:tc>
        <w:tc>
          <w:tcPr>
            <w:tcW w:w="956" w:type="dxa"/>
            <w:noWrap/>
            <w:hideMark/>
          </w:tcPr>
          <w:p w14:paraId="57A61D96" w14:textId="77777777" w:rsidR="00E51191" w:rsidRPr="00734304" w:rsidRDefault="00E51191" w:rsidP="00E51191">
            <w:pPr>
              <w:jc w:val="right"/>
            </w:pPr>
            <w:r w:rsidRPr="00734304">
              <w:t xml:space="preserve"> 68,6 </w:t>
            </w:r>
          </w:p>
        </w:tc>
        <w:tc>
          <w:tcPr>
            <w:tcW w:w="956" w:type="dxa"/>
            <w:noWrap/>
            <w:hideMark/>
          </w:tcPr>
          <w:p w14:paraId="1AC9F396" w14:textId="77777777" w:rsidR="00E51191" w:rsidRPr="00734304" w:rsidRDefault="00E51191" w:rsidP="00E51191">
            <w:pPr>
              <w:jc w:val="right"/>
            </w:pPr>
            <w:r w:rsidRPr="00734304">
              <w:t xml:space="preserve"> 99,3 </w:t>
            </w:r>
          </w:p>
        </w:tc>
      </w:tr>
      <w:tr w:rsidR="00E51191" w:rsidRPr="00734304" w14:paraId="1B180895" w14:textId="77777777" w:rsidTr="00E51191">
        <w:trPr>
          <w:trHeight w:val="300"/>
        </w:trPr>
        <w:tc>
          <w:tcPr>
            <w:tcW w:w="2936" w:type="dxa"/>
            <w:noWrap/>
            <w:hideMark/>
          </w:tcPr>
          <w:p w14:paraId="21D6EF24" w14:textId="77777777" w:rsidR="00E51191" w:rsidRPr="00734304" w:rsidRDefault="00E51191" w:rsidP="00E51191">
            <w:r w:rsidRPr="00734304">
              <w:t>I alt</w:t>
            </w:r>
          </w:p>
        </w:tc>
        <w:tc>
          <w:tcPr>
            <w:tcW w:w="956" w:type="dxa"/>
            <w:noWrap/>
            <w:hideMark/>
          </w:tcPr>
          <w:p w14:paraId="4DA1027B" w14:textId="77777777" w:rsidR="00E51191" w:rsidRPr="00734304" w:rsidRDefault="00E51191" w:rsidP="00E51191">
            <w:pPr>
              <w:jc w:val="right"/>
            </w:pPr>
            <w:r w:rsidRPr="00734304">
              <w:t xml:space="preserve"> 10.735 </w:t>
            </w:r>
          </w:p>
        </w:tc>
        <w:tc>
          <w:tcPr>
            <w:tcW w:w="956" w:type="dxa"/>
            <w:noWrap/>
            <w:hideMark/>
          </w:tcPr>
          <w:p w14:paraId="34E910AF" w14:textId="77777777" w:rsidR="00E51191" w:rsidRPr="00734304" w:rsidRDefault="00E51191" w:rsidP="00E51191">
            <w:pPr>
              <w:jc w:val="right"/>
            </w:pPr>
            <w:r w:rsidRPr="00734304">
              <w:t xml:space="preserve"> 11.527 </w:t>
            </w:r>
          </w:p>
        </w:tc>
        <w:tc>
          <w:tcPr>
            <w:tcW w:w="956" w:type="dxa"/>
            <w:noWrap/>
            <w:hideMark/>
          </w:tcPr>
          <w:p w14:paraId="6C31E7E8" w14:textId="77777777" w:rsidR="00E51191" w:rsidRPr="00734304" w:rsidRDefault="00E51191" w:rsidP="00E51191">
            <w:pPr>
              <w:jc w:val="right"/>
            </w:pPr>
            <w:r w:rsidRPr="00734304">
              <w:t xml:space="preserve"> 11.524 </w:t>
            </w:r>
          </w:p>
        </w:tc>
        <w:tc>
          <w:tcPr>
            <w:tcW w:w="956" w:type="dxa"/>
            <w:noWrap/>
            <w:hideMark/>
          </w:tcPr>
          <w:p w14:paraId="519AA36B" w14:textId="77777777" w:rsidR="00E51191" w:rsidRPr="00734304" w:rsidRDefault="00E51191" w:rsidP="00E51191">
            <w:pPr>
              <w:jc w:val="right"/>
            </w:pPr>
            <w:r w:rsidRPr="00734304">
              <w:t xml:space="preserve"> 12.037 </w:t>
            </w:r>
          </w:p>
        </w:tc>
        <w:tc>
          <w:tcPr>
            <w:tcW w:w="956" w:type="dxa"/>
            <w:noWrap/>
            <w:hideMark/>
          </w:tcPr>
          <w:p w14:paraId="347C2EB1" w14:textId="77777777" w:rsidR="00E51191" w:rsidRPr="00734304" w:rsidRDefault="00E51191" w:rsidP="00E51191">
            <w:pPr>
              <w:jc w:val="right"/>
            </w:pPr>
            <w:r w:rsidRPr="00734304">
              <w:t xml:space="preserve"> 14.082 </w:t>
            </w:r>
          </w:p>
        </w:tc>
      </w:tr>
    </w:tbl>
    <w:p w14:paraId="040DEC29" w14:textId="648DF452" w:rsidR="00E51191" w:rsidRDefault="00E51191" w:rsidP="00E51191"/>
    <w:p w14:paraId="34E2D4F7" w14:textId="77777777" w:rsidR="00674646" w:rsidRPr="00734304" w:rsidRDefault="00674646" w:rsidP="00E51191"/>
    <w:p w14:paraId="2529A4EE" w14:textId="77777777" w:rsidR="00E51191" w:rsidRPr="00734304" w:rsidRDefault="00E51191" w:rsidP="00E51191">
      <w:pPr>
        <w:rPr>
          <w:i/>
          <w:iCs/>
        </w:rPr>
      </w:pPr>
      <w:r w:rsidRPr="00734304">
        <w:rPr>
          <w:i/>
          <w:iCs/>
        </w:rPr>
        <w:t>Figur IV.1.: Grafisk gengivelse af Tabel IV.2.</w:t>
      </w:r>
    </w:p>
    <w:p w14:paraId="49A9159A" w14:textId="77777777" w:rsidR="00E51191" w:rsidRPr="00734304" w:rsidRDefault="00E51191" w:rsidP="00E51191">
      <w:r w:rsidRPr="00734304">
        <w:rPr>
          <w:noProof/>
        </w:rPr>
        <w:drawing>
          <wp:inline distT="0" distB="0" distL="0" distR="0" wp14:anchorId="31773DC8" wp14:editId="4689E6AA">
            <wp:extent cx="4572000" cy="2743200"/>
            <wp:effectExtent l="0" t="0" r="0" b="0"/>
            <wp:docPr id="13" name="Diagram 13">
              <a:extLst xmlns:a="http://schemas.openxmlformats.org/drawingml/2006/main">
                <a:ext uri="{FF2B5EF4-FFF2-40B4-BE49-F238E27FC236}">
                  <a16:creationId xmlns:a16="http://schemas.microsoft.com/office/drawing/2014/main" id="{3B455CFF-E35C-4DCC-B7CD-AE9CA3BF2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76AE984C" w14:textId="77777777" w:rsidR="00E51191" w:rsidRPr="00734304" w:rsidRDefault="00E51191" w:rsidP="00E51191"/>
    <w:p w14:paraId="23159645" w14:textId="77777777" w:rsidR="00E51191" w:rsidRPr="00734304" w:rsidRDefault="00E51191" w:rsidP="00E51191">
      <w:r w:rsidRPr="00734304">
        <w:t>De samme data, men omregnet til kg CO2/husstand/år, fremgår af Tabel IV.3. og Figur IV.2. nedenfor.</w:t>
      </w:r>
    </w:p>
    <w:p w14:paraId="0E3295E2" w14:textId="77777777" w:rsidR="00E51191" w:rsidRPr="00734304" w:rsidRDefault="00E51191" w:rsidP="00E51191"/>
    <w:p w14:paraId="33B7F072" w14:textId="77777777" w:rsidR="00674646" w:rsidRDefault="00674646">
      <w:pPr>
        <w:suppressAutoHyphens w:val="0"/>
        <w:autoSpaceDN/>
        <w:spacing w:after="200" w:line="276" w:lineRule="auto"/>
        <w:textAlignment w:val="auto"/>
        <w:rPr>
          <w:i/>
          <w:iCs/>
        </w:rPr>
      </w:pPr>
      <w:r>
        <w:rPr>
          <w:i/>
          <w:iCs/>
        </w:rPr>
        <w:br w:type="page"/>
      </w:r>
    </w:p>
    <w:p w14:paraId="0DFB018D" w14:textId="0443AFB2" w:rsidR="00E51191" w:rsidRPr="00674646" w:rsidRDefault="00E51191" w:rsidP="00E51191">
      <w:pPr>
        <w:rPr>
          <w:i/>
          <w:iCs/>
        </w:rPr>
      </w:pPr>
      <w:r w:rsidRPr="00734304">
        <w:rPr>
          <w:i/>
          <w:iCs/>
        </w:rPr>
        <w:lastRenderedPageBreak/>
        <w:t>Tabel IV.3.: Den fortrængte mængde CO2 (i kg/husstand/år) som resultat af den reelle genanvendelse af husstandsindsamlet affald, kommunalt affald indsamlet på genbrugspladser og bygge- og anlægsaffald indsamlet på genbrugspladser i 2014 og i perioden 2017-2020.</w:t>
      </w:r>
    </w:p>
    <w:tbl>
      <w:tblPr>
        <w:tblStyle w:val="Tabel-Gitter"/>
        <w:tblW w:w="0" w:type="auto"/>
        <w:tblLook w:val="04A0" w:firstRow="1" w:lastRow="0" w:firstColumn="1" w:lastColumn="0" w:noHBand="0" w:noVBand="1"/>
      </w:tblPr>
      <w:tblGrid>
        <w:gridCol w:w="2936"/>
        <w:gridCol w:w="956"/>
        <w:gridCol w:w="956"/>
        <w:gridCol w:w="956"/>
        <w:gridCol w:w="956"/>
        <w:gridCol w:w="956"/>
      </w:tblGrid>
      <w:tr w:rsidR="00E51191" w:rsidRPr="00734304" w14:paraId="4C8B8C8A" w14:textId="77777777" w:rsidTr="00E51191">
        <w:trPr>
          <w:trHeight w:val="300"/>
        </w:trPr>
        <w:tc>
          <w:tcPr>
            <w:tcW w:w="2936" w:type="dxa"/>
            <w:noWrap/>
            <w:hideMark/>
          </w:tcPr>
          <w:p w14:paraId="71774268" w14:textId="77777777" w:rsidR="00E51191" w:rsidRPr="00734304" w:rsidRDefault="00E51191" w:rsidP="00E51191">
            <w:pPr>
              <w:rPr>
                <w:b/>
                <w:bCs/>
              </w:rPr>
            </w:pPr>
            <w:r w:rsidRPr="00734304">
              <w:rPr>
                <w:b/>
                <w:bCs/>
              </w:rPr>
              <w:t>Kg/husstand/år</w:t>
            </w:r>
          </w:p>
        </w:tc>
        <w:tc>
          <w:tcPr>
            <w:tcW w:w="956" w:type="dxa"/>
            <w:noWrap/>
            <w:hideMark/>
          </w:tcPr>
          <w:p w14:paraId="073B74DD" w14:textId="77777777" w:rsidR="00E51191" w:rsidRPr="00734304" w:rsidRDefault="00E51191" w:rsidP="00E51191">
            <w:pPr>
              <w:rPr>
                <w:b/>
                <w:bCs/>
              </w:rPr>
            </w:pPr>
            <w:r w:rsidRPr="00734304">
              <w:rPr>
                <w:b/>
                <w:bCs/>
              </w:rPr>
              <w:t>2014</w:t>
            </w:r>
          </w:p>
        </w:tc>
        <w:tc>
          <w:tcPr>
            <w:tcW w:w="956" w:type="dxa"/>
            <w:noWrap/>
            <w:hideMark/>
          </w:tcPr>
          <w:p w14:paraId="0EFEF71D" w14:textId="77777777" w:rsidR="00E51191" w:rsidRPr="00734304" w:rsidRDefault="00E51191" w:rsidP="00E51191">
            <w:pPr>
              <w:rPr>
                <w:b/>
                <w:bCs/>
              </w:rPr>
            </w:pPr>
            <w:r w:rsidRPr="00734304">
              <w:rPr>
                <w:b/>
                <w:bCs/>
              </w:rPr>
              <w:t>2017</w:t>
            </w:r>
          </w:p>
        </w:tc>
        <w:tc>
          <w:tcPr>
            <w:tcW w:w="956" w:type="dxa"/>
            <w:noWrap/>
            <w:hideMark/>
          </w:tcPr>
          <w:p w14:paraId="665AC92F" w14:textId="77777777" w:rsidR="00E51191" w:rsidRPr="00734304" w:rsidRDefault="00E51191" w:rsidP="00E51191">
            <w:pPr>
              <w:rPr>
                <w:b/>
                <w:bCs/>
              </w:rPr>
            </w:pPr>
            <w:r w:rsidRPr="00734304">
              <w:rPr>
                <w:b/>
                <w:bCs/>
              </w:rPr>
              <w:t>2018</w:t>
            </w:r>
          </w:p>
        </w:tc>
        <w:tc>
          <w:tcPr>
            <w:tcW w:w="956" w:type="dxa"/>
            <w:noWrap/>
            <w:hideMark/>
          </w:tcPr>
          <w:p w14:paraId="43E4EC03" w14:textId="77777777" w:rsidR="00E51191" w:rsidRPr="00734304" w:rsidRDefault="00E51191" w:rsidP="00E51191">
            <w:pPr>
              <w:rPr>
                <w:b/>
                <w:bCs/>
              </w:rPr>
            </w:pPr>
            <w:r w:rsidRPr="00734304">
              <w:rPr>
                <w:b/>
                <w:bCs/>
              </w:rPr>
              <w:t>2019</w:t>
            </w:r>
          </w:p>
        </w:tc>
        <w:tc>
          <w:tcPr>
            <w:tcW w:w="956" w:type="dxa"/>
            <w:noWrap/>
            <w:hideMark/>
          </w:tcPr>
          <w:p w14:paraId="403F040F" w14:textId="77777777" w:rsidR="00E51191" w:rsidRPr="00734304" w:rsidRDefault="00E51191" w:rsidP="00E51191">
            <w:pPr>
              <w:rPr>
                <w:b/>
                <w:bCs/>
              </w:rPr>
            </w:pPr>
            <w:r w:rsidRPr="00734304">
              <w:rPr>
                <w:b/>
                <w:bCs/>
              </w:rPr>
              <w:t>2020</w:t>
            </w:r>
          </w:p>
        </w:tc>
      </w:tr>
      <w:tr w:rsidR="00E51191" w:rsidRPr="00734304" w14:paraId="425FD93F" w14:textId="77777777" w:rsidTr="00E51191">
        <w:trPr>
          <w:trHeight w:val="300"/>
        </w:trPr>
        <w:tc>
          <w:tcPr>
            <w:tcW w:w="2936" w:type="dxa"/>
            <w:noWrap/>
            <w:hideMark/>
          </w:tcPr>
          <w:p w14:paraId="209B62DA" w14:textId="77777777" w:rsidR="00E51191" w:rsidRPr="00734304" w:rsidRDefault="00E51191" w:rsidP="00E51191">
            <w:r w:rsidRPr="00734304">
              <w:t>Husstandsinds.</w:t>
            </w:r>
          </w:p>
        </w:tc>
        <w:tc>
          <w:tcPr>
            <w:tcW w:w="956" w:type="dxa"/>
            <w:noWrap/>
            <w:hideMark/>
          </w:tcPr>
          <w:p w14:paraId="042BFB13" w14:textId="77777777" w:rsidR="00E51191" w:rsidRPr="00734304" w:rsidRDefault="00E51191" w:rsidP="00E51191">
            <w:pPr>
              <w:jc w:val="right"/>
            </w:pPr>
            <w:r w:rsidRPr="00734304">
              <w:t xml:space="preserve"> 136 </w:t>
            </w:r>
          </w:p>
        </w:tc>
        <w:tc>
          <w:tcPr>
            <w:tcW w:w="956" w:type="dxa"/>
            <w:noWrap/>
            <w:hideMark/>
          </w:tcPr>
          <w:p w14:paraId="264BAC05" w14:textId="77777777" w:rsidR="00E51191" w:rsidRPr="00734304" w:rsidRDefault="00E51191" w:rsidP="00E51191">
            <w:pPr>
              <w:jc w:val="right"/>
            </w:pPr>
            <w:r w:rsidRPr="00734304">
              <w:t xml:space="preserve"> 121 </w:t>
            </w:r>
          </w:p>
        </w:tc>
        <w:tc>
          <w:tcPr>
            <w:tcW w:w="956" w:type="dxa"/>
            <w:noWrap/>
            <w:hideMark/>
          </w:tcPr>
          <w:p w14:paraId="4013046C" w14:textId="77777777" w:rsidR="00E51191" w:rsidRPr="00734304" w:rsidRDefault="00E51191" w:rsidP="00E51191">
            <w:pPr>
              <w:jc w:val="right"/>
            </w:pPr>
            <w:r w:rsidRPr="00734304">
              <w:t xml:space="preserve"> 118 </w:t>
            </w:r>
          </w:p>
        </w:tc>
        <w:tc>
          <w:tcPr>
            <w:tcW w:w="956" w:type="dxa"/>
            <w:noWrap/>
            <w:hideMark/>
          </w:tcPr>
          <w:p w14:paraId="349D7D73" w14:textId="77777777" w:rsidR="00E51191" w:rsidRPr="00734304" w:rsidRDefault="00E51191" w:rsidP="00E51191">
            <w:pPr>
              <w:jc w:val="right"/>
            </w:pPr>
            <w:r w:rsidRPr="00734304">
              <w:t xml:space="preserve"> 172 </w:t>
            </w:r>
          </w:p>
        </w:tc>
        <w:tc>
          <w:tcPr>
            <w:tcW w:w="956" w:type="dxa"/>
            <w:noWrap/>
            <w:hideMark/>
          </w:tcPr>
          <w:p w14:paraId="18E272EE" w14:textId="77777777" w:rsidR="00E51191" w:rsidRPr="00734304" w:rsidRDefault="00E51191" w:rsidP="00E51191">
            <w:pPr>
              <w:jc w:val="right"/>
            </w:pPr>
            <w:r w:rsidRPr="00734304">
              <w:t xml:space="preserve"> 169 </w:t>
            </w:r>
          </w:p>
        </w:tc>
      </w:tr>
      <w:tr w:rsidR="00E51191" w:rsidRPr="00734304" w14:paraId="5A30811C" w14:textId="77777777" w:rsidTr="00E51191">
        <w:trPr>
          <w:trHeight w:val="300"/>
        </w:trPr>
        <w:tc>
          <w:tcPr>
            <w:tcW w:w="2936" w:type="dxa"/>
            <w:noWrap/>
            <w:hideMark/>
          </w:tcPr>
          <w:p w14:paraId="721E15FB" w14:textId="77777777" w:rsidR="00E51191" w:rsidRPr="00734304" w:rsidRDefault="00E51191" w:rsidP="00E51191">
            <w:r w:rsidRPr="00734304">
              <w:t>Kommunalt, GBP</w:t>
            </w:r>
          </w:p>
        </w:tc>
        <w:tc>
          <w:tcPr>
            <w:tcW w:w="956" w:type="dxa"/>
            <w:noWrap/>
            <w:hideMark/>
          </w:tcPr>
          <w:p w14:paraId="073E450F" w14:textId="77777777" w:rsidR="00E51191" w:rsidRPr="00734304" w:rsidRDefault="00E51191" w:rsidP="00E51191">
            <w:pPr>
              <w:jc w:val="right"/>
            </w:pPr>
            <w:r w:rsidRPr="00734304">
              <w:t xml:space="preserve"> 329 </w:t>
            </w:r>
          </w:p>
        </w:tc>
        <w:tc>
          <w:tcPr>
            <w:tcW w:w="956" w:type="dxa"/>
            <w:noWrap/>
            <w:hideMark/>
          </w:tcPr>
          <w:p w14:paraId="7AEC0220" w14:textId="77777777" w:rsidR="00E51191" w:rsidRPr="00734304" w:rsidRDefault="00E51191" w:rsidP="00E51191">
            <w:pPr>
              <w:jc w:val="right"/>
            </w:pPr>
            <w:r w:rsidRPr="00734304">
              <w:t xml:space="preserve"> 369 </w:t>
            </w:r>
          </w:p>
        </w:tc>
        <w:tc>
          <w:tcPr>
            <w:tcW w:w="956" w:type="dxa"/>
            <w:noWrap/>
            <w:hideMark/>
          </w:tcPr>
          <w:p w14:paraId="4B1A6FDF" w14:textId="77777777" w:rsidR="00E51191" w:rsidRPr="00734304" w:rsidRDefault="00E51191" w:rsidP="00E51191">
            <w:pPr>
              <w:jc w:val="right"/>
            </w:pPr>
            <w:r w:rsidRPr="00734304">
              <w:t xml:space="preserve"> 372 </w:t>
            </w:r>
          </w:p>
        </w:tc>
        <w:tc>
          <w:tcPr>
            <w:tcW w:w="956" w:type="dxa"/>
            <w:noWrap/>
            <w:hideMark/>
          </w:tcPr>
          <w:p w14:paraId="5042ADBB" w14:textId="77777777" w:rsidR="00E51191" w:rsidRPr="00734304" w:rsidRDefault="00E51191" w:rsidP="00E51191">
            <w:pPr>
              <w:jc w:val="right"/>
            </w:pPr>
            <w:r w:rsidRPr="00734304">
              <w:t xml:space="preserve"> 342 </w:t>
            </w:r>
          </w:p>
        </w:tc>
        <w:tc>
          <w:tcPr>
            <w:tcW w:w="956" w:type="dxa"/>
            <w:noWrap/>
            <w:hideMark/>
          </w:tcPr>
          <w:p w14:paraId="290FB21B" w14:textId="77777777" w:rsidR="00E51191" w:rsidRPr="00734304" w:rsidRDefault="00E51191" w:rsidP="00E51191">
            <w:pPr>
              <w:jc w:val="right"/>
            </w:pPr>
            <w:r w:rsidRPr="00734304">
              <w:t xml:space="preserve"> 430 </w:t>
            </w:r>
          </w:p>
        </w:tc>
      </w:tr>
      <w:tr w:rsidR="00E51191" w:rsidRPr="00734304" w14:paraId="435F2504" w14:textId="77777777" w:rsidTr="00E51191">
        <w:trPr>
          <w:trHeight w:val="300"/>
        </w:trPr>
        <w:tc>
          <w:tcPr>
            <w:tcW w:w="2936" w:type="dxa"/>
            <w:noWrap/>
            <w:hideMark/>
          </w:tcPr>
          <w:p w14:paraId="11D5FE12" w14:textId="77777777" w:rsidR="00E51191" w:rsidRPr="00734304" w:rsidRDefault="00E51191" w:rsidP="00E51191">
            <w:r w:rsidRPr="00734304">
              <w:t>Bygge- &amp; Anlæg, GBP</w:t>
            </w:r>
          </w:p>
        </w:tc>
        <w:tc>
          <w:tcPr>
            <w:tcW w:w="956" w:type="dxa"/>
            <w:noWrap/>
            <w:hideMark/>
          </w:tcPr>
          <w:p w14:paraId="5980A56B" w14:textId="77777777" w:rsidR="00E51191" w:rsidRPr="00734304" w:rsidRDefault="00E51191" w:rsidP="00E51191">
            <w:pPr>
              <w:jc w:val="right"/>
            </w:pPr>
            <w:r w:rsidRPr="00734304">
              <w:t xml:space="preserve"> 3,4 </w:t>
            </w:r>
          </w:p>
        </w:tc>
        <w:tc>
          <w:tcPr>
            <w:tcW w:w="956" w:type="dxa"/>
            <w:noWrap/>
            <w:hideMark/>
          </w:tcPr>
          <w:p w14:paraId="3756F282" w14:textId="77777777" w:rsidR="00E51191" w:rsidRPr="00734304" w:rsidRDefault="00E51191" w:rsidP="00E51191">
            <w:pPr>
              <w:jc w:val="right"/>
            </w:pPr>
            <w:r w:rsidRPr="00734304">
              <w:t xml:space="preserve"> 4,2 </w:t>
            </w:r>
          </w:p>
        </w:tc>
        <w:tc>
          <w:tcPr>
            <w:tcW w:w="956" w:type="dxa"/>
            <w:noWrap/>
            <w:hideMark/>
          </w:tcPr>
          <w:p w14:paraId="1DA229A3" w14:textId="77777777" w:rsidR="00E51191" w:rsidRPr="00734304" w:rsidRDefault="00E51191" w:rsidP="00E51191">
            <w:pPr>
              <w:jc w:val="right"/>
            </w:pPr>
            <w:r w:rsidRPr="00734304">
              <w:t xml:space="preserve"> 3,3 </w:t>
            </w:r>
          </w:p>
        </w:tc>
        <w:tc>
          <w:tcPr>
            <w:tcW w:w="956" w:type="dxa"/>
            <w:noWrap/>
            <w:hideMark/>
          </w:tcPr>
          <w:p w14:paraId="712425D5" w14:textId="77777777" w:rsidR="00E51191" w:rsidRPr="00734304" w:rsidRDefault="00E51191" w:rsidP="00E51191">
            <w:pPr>
              <w:jc w:val="right"/>
            </w:pPr>
            <w:r w:rsidRPr="00734304">
              <w:t xml:space="preserve"> 2,9 </w:t>
            </w:r>
          </w:p>
        </w:tc>
        <w:tc>
          <w:tcPr>
            <w:tcW w:w="956" w:type="dxa"/>
            <w:noWrap/>
            <w:hideMark/>
          </w:tcPr>
          <w:p w14:paraId="12CC517F" w14:textId="77777777" w:rsidR="00E51191" w:rsidRPr="00734304" w:rsidRDefault="00E51191" w:rsidP="00E51191">
            <w:pPr>
              <w:jc w:val="right"/>
            </w:pPr>
            <w:r w:rsidRPr="00734304">
              <w:t xml:space="preserve"> 4,3 </w:t>
            </w:r>
          </w:p>
        </w:tc>
      </w:tr>
      <w:tr w:rsidR="00E51191" w:rsidRPr="00734304" w14:paraId="1ED688FB" w14:textId="77777777" w:rsidTr="00E51191">
        <w:trPr>
          <w:trHeight w:val="300"/>
        </w:trPr>
        <w:tc>
          <w:tcPr>
            <w:tcW w:w="2936" w:type="dxa"/>
            <w:noWrap/>
            <w:hideMark/>
          </w:tcPr>
          <w:p w14:paraId="341BE6EA" w14:textId="77777777" w:rsidR="00E51191" w:rsidRPr="00734304" w:rsidRDefault="00E51191" w:rsidP="00E51191">
            <w:r w:rsidRPr="00734304">
              <w:t>I alt</w:t>
            </w:r>
          </w:p>
        </w:tc>
        <w:tc>
          <w:tcPr>
            <w:tcW w:w="956" w:type="dxa"/>
            <w:noWrap/>
            <w:hideMark/>
          </w:tcPr>
          <w:p w14:paraId="2D767E65" w14:textId="77777777" w:rsidR="00E51191" w:rsidRPr="00734304" w:rsidRDefault="00E51191" w:rsidP="00E51191">
            <w:pPr>
              <w:jc w:val="right"/>
            </w:pPr>
            <w:r w:rsidRPr="00734304">
              <w:t xml:space="preserve"> 468 </w:t>
            </w:r>
          </w:p>
        </w:tc>
        <w:tc>
          <w:tcPr>
            <w:tcW w:w="956" w:type="dxa"/>
            <w:noWrap/>
            <w:hideMark/>
          </w:tcPr>
          <w:p w14:paraId="35DBA4EF" w14:textId="77777777" w:rsidR="00E51191" w:rsidRPr="00734304" w:rsidRDefault="00E51191" w:rsidP="00E51191">
            <w:pPr>
              <w:jc w:val="right"/>
            </w:pPr>
            <w:r w:rsidRPr="00734304">
              <w:t xml:space="preserve"> 495 </w:t>
            </w:r>
          </w:p>
        </w:tc>
        <w:tc>
          <w:tcPr>
            <w:tcW w:w="956" w:type="dxa"/>
            <w:noWrap/>
            <w:hideMark/>
          </w:tcPr>
          <w:p w14:paraId="46534029" w14:textId="77777777" w:rsidR="00E51191" w:rsidRPr="00734304" w:rsidRDefault="00E51191" w:rsidP="00E51191">
            <w:pPr>
              <w:jc w:val="right"/>
            </w:pPr>
            <w:r w:rsidRPr="00734304">
              <w:t xml:space="preserve"> 494 </w:t>
            </w:r>
          </w:p>
        </w:tc>
        <w:tc>
          <w:tcPr>
            <w:tcW w:w="956" w:type="dxa"/>
            <w:noWrap/>
            <w:hideMark/>
          </w:tcPr>
          <w:p w14:paraId="02D14ED9" w14:textId="77777777" w:rsidR="00E51191" w:rsidRPr="00734304" w:rsidRDefault="00E51191" w:rsidP="00E51191">
            <w:pPr>
              <w:jc w:val="right"/>
            </w:pPr>
            <w:r w:rsidRPr="00734304">
              <w:t xml:space="preserve"> 517 </w:t>
            </w:r>
          </w:p>
        </w:tc>
        <w:tc>
          <w:tcPr>
            <w:tcW w:w="956" w:type="dxa"/>
            <w:noWrap/>
            <w:hideMark/>
          </w:tcPr>
          <w:p w14:paraId="32CA882A" w14:textId="77777777" w:rsidR="00E51191" w:rsidRPr="00734304" w:rsidRDefault="00E51191" w:rsidP="00E51191">
            <w:pPr>
              <w:jc w:val="right"/>
            </w:pPr>
            <w:r w:rsidRPr="00734304">
              <w:t xml:space="preserve"> 604 </w:t>
            </w:r>
          </w:p>
        </w:tc>
      </w:tr>
    </w:tbl>
    <w:p w14:paraId="2751C7DF" w14:textId="77777777" w:rsidR="00E51191" w:rsidRPr="00734304" w:rsidRDefault="00E51191" w:rsidP="00E51191"/>
    <w:p w14:paraId="076D82D1" w14:textId="77777777" w:rsidR="00E51191" w:rsidRPr="00734304" w:rsidRDefault="00E51191" w:rsidP="00E51191">
      <w:pPr>
        <w:rPr>
          <w:i/>
          <w:iCs/>
        </w:rPr>
      </w:pPr>
      <w:r w:rsidRPr="00734304">
        <w:rPr>
          <w:i/>
          <w:iCs/>
        </w:rPr>
        <w:t>Figur IV.2.: Grafisk gengivelse af Tabel IV.3.</w:t>
      </w:r>
    </w:p>
    <w:p w14:paraId="0F404660" w14:textId="77777777" w:rsidR="00E51191" w:rsidRPr="00734304" w:rsidRDefault="00E51191" w:rsidP="00E51191">
      <w:r w:rsidRPr="00734304">
        <w:rPr>
          <w:noProof/>
        </w:rPr>
        <w:drawing>
          <wp:inline distT="0" distB="0" distL="0" distR="0" wp14:anchorId="3362ECC3" wp14:editId="7521C8FB">
            <wp:extent cx="4572000" cy="2743200"/>
            <wp:effectExtent l="0" t="0" r="0" b="0"/>
            <wp:docPr id="14" name="Diagram 14">
              <a:extLst xmlns:a="http://schemas.openxmlformats.org/drawingml/2006/main">
                <a:ext uri="{FF2B5EF4-FFF2-40B4-BE49-F238E27FC236}">
                  <a16:creationId xmlns:a16="http://schemas.microsoft.com/office/drawing/2014/main" id="{75F1C626-3737-49B6-BC60-63F1A042CC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2FD87810" w14:textId="77777777" w:rsidR="00E51191" w:rsidRPr="00734304" w:rsidRDefault="00E51191" w:rsidP="00E51191"/>
    <w:p w14:paraId="1E82D794" w14:textId="77777777" w:rsidR="00E51191" w:rsidRPr="00734304" w:rsidRDefault="00E51191" w:rsidP="00E51191">
      <w:r w:rsidRPr="00734304">
        <w:t>Under anvendelse af fremskrivningerne af affaldsmængder i Bilag III, kan de forventelige CO2-fortrængninger som følge af genanvendelse opgøres for 2020, 2025 og 2030 som vist i Tabel IV.4, 5. og 6 (for hhv. husstandsindsamlet, genbrugspladsindsamlet kommunalt affald og genbrugspladsindsamlet bygge- og anlægsaffald):</w:t>
      </w:r>
    </w:p>
    <w:p w14:paraId="59B92413" w14:textId="77777777" w:rsidR="00674646" w:rsidRDefault="00674646">
      <w:pPr>
        <w:suppressAutoHyphens w:val="0"/>
        <w:autoSpaceDN/>
        <w:spacing w:after="200" w:line="276" w:lineRule="auto"/>
        <w:textAlignment w:val="auto"/>
        <w:rPr>
          <w:i/>
          <w:iCs/>
        </w:rPr>
      </w:pPr>
      <w:r>
        <w:rPr>
          <w:i/>
          <w:iCs/>
        </w:rPr>
        <w:br w:type="page"/>
      </w:r>
    </w:p>
    <w:p w14:paraId="1C951379" w14:textId="32900268" w:rsidR="00E51191" w:rsidRPr="00734304" w:rsidRDefault="00E51191" w:rsidP="00E51191">
      <w:pPr>
        <w:rPr>
          <w:i/>
          <w:iCs/>
        </w:rPr>
      </w:pPr>
      <w:r w:rsidRPr="00734304">
        <w:rPr>
          <w:i/>
          <w:iCs/>
        </w:rPr>
        <w:lastRenderedPageBreak/>
        <w:t xml:space="preserve">Tabel IV.4.: Den fortrængte mængde CO2 (i ton/år) som resultat af den reelle genanvendelse af husstandsindsamlet affald i 2020, og de forventede mængder i 2025 og 2030. Summerede mængder tillige omregnet til kg/husstand/år, heraf særskilt den andel, der kan tilskrives gevinsten ved genanvendelse af Mad- og drikkekartoner. </w:t>
      </w:r>
    </w:p>
    <w:p w14:paraId="1E18C01B" w14:textId="77777777" w:rsidR="00E51191" w:rsidRPr="00734304" w:rsidRDefault="00E51191" w:rsidP="00E51191">
      <w:r w:rsidRPr="00734304">
        <w:rPr>
          <w:noProof/>
        </w:rPr>
        <w:drawing>
          <wp:inline distT="0" distB="0" distL="0" distR="0" wp14:anchorId="2C2844B7" wp14:editId="1FE0D9F4">
            <wp:extent cx="5725160" cy="3630295"/>
            <wp:effectExtent l="0" t="0" r="8890" b="8255"/>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25160" cy="3630295"/>
                    </a:xfrm>
                    <a:prstGeom prst="rect">
                      <a:avLst/>
                    </a:prstGeom>
                    <a:noFill/>
                    <a:ln>
                      <a:noFill/>
                    </a:ln>
                  </pic:spPr>
                </pic:pic>
              </a:graphicData>
            </a:graphic>
          </wp:inline>
        </w:drawing>
      </w:r>
    </w:p>
    <w:p w14:paraId="443701CE" w14:textId="77777777" w:rsidR="00674646" w:rsidRDefault="00674646">
      <w:pPr>
        <w:suppressAutoHyphens w:val="0"/>
        <w:autoSpaceDN/>
        <w:spacing w:after="200" w:line="276" w:lineRule="auto"/>
        <w:textAlignment w:val="auto"/>
        <w:rPr>
          <w:i/>
          <w:iCs/>
        </w:rPr>
      </w:pPr>
      <w:r>
        <w:rPr>
          <w:i/>
          <w:iCs/>
        </w:rPr>
        <w:br w:type="page"/>
      </w:r>
    </w:p>
    <w:p w14:paraId="368E99A9" w14:textId="2EA9D401" w:rsidR="00E51191" w:rsidRPr="00734304" w:rsidRDefault="00E51191" w:rsidP="00E51191">
      <w:pPr>
        <w:rPr>
          <w:i/>
          <w:iCs/>
        </w:rPr>
      </w:pPr>
      <w:r w:rsidRPr="00734304">
        <w:rPr>
          <w:i/>
          <w:iCs/>
        </w:rPr>
        <w:lastRenderedPageBreak/>
        <w:t>Tabel IV.5.: Den fortrængte mængde CO2 (i ton/år) som resultat af den reelle genanvendelse af genbrugspladsindsamlet affald i 2020, og de forventede mængder i 2025 og 2030. Summerede mængder tillige omregnet til kg/husstand/år.</w:t>
      </w:r>
    </w:p>
    <w:p w14:paraId="17A9B7AC" w14:textId="77777777" w:rsidR="00E51191" w:rsidRPr="00734304" w:rsidRDefault="00E51191" w:rsidP="00E51191">
      <w:r w:rsidRPr="00734304">
        <w:rPr>
          <w:noProof/>
        </w:rPr>
        <w:drawing>
          <wp:inline distT="0" distB="0" distL="0" distR="0" wp14:anchorId="10162555" wp14:editId="3CA2F07E">
            <wp:extent cx="5725160" cy="6298565"/>
            <wp:effectExtent l="0" t="0" r="8890" b="6985"/>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25160" cy="6298565"/>
                    </a:xfrm>
                    <a:prstGeom prst="rect">
                      <a:avLst/>
                    </a:prstGeom>
                    <a:noFill/>
                    <a:ln>
                      <a:noFill/>
                    </a:ln>
                  </pic:spPr>
                </pic:pic>
              </a:graphicData>
            </a:graphic>
          </wp:inline>
        </w:drawing>
      </w:r>
    </w:p>
    <w:p w14:paraId="64F7FBB4" w14:textId="77777777" w:rsidR="00E51191" w:rsidRPr="00734304" w:rsidRDefault="00E51191" w:rsidP="00E51191"/>
    <w:p w14:paraId="18800767" w14:textId="77777777" w:rsidR="00E51191" w:rsidRPr="00734304" w:rsidRDefault="00E51191" w:rsidP="00E51191"/>
    <w:p w14:paraId="02A8BA30" w14:textId="77777777" w:rsidR="00E51191" w:rsidRPr="00734304" w:rsidRDefault="00E51191" w:rsidP="00E51191"/>
    <w:p w14:paraId="1DFB66A8" w14:textId="77777777" w:rsidR="00E51191" w:rsidRPr="00734304" w:rsidRDefault="00E51191" w:rsidP="00E51191"/>
    <w:p w14:paraId="509DFCBF" w14:textId="77777777" w:rsidR="00E51191" w:rsidRPr="00734304" w:rsidRDefault="00E51191" w:rsidP="00E51191"/>
    <w:p w14:paraId="57F60154" w14:textId="77777777" w:rsidR="00E51191" w:rsidRPr="00734304" w:rsidRDefault="00E51191" w:rsidP="00E51191"/>
    <w:p w14:paraId="139DDA78" w14:textId="77777777" w:rsidR="00E51191" w:rsidRPr="00734304" w:rsidRDefault="00E51191" w:rsidP="00E51191"/>
    <w:p w14:paraId="29D2F71A" w14:textId="77777777" w:rsidR="00E51191" w:rsidRPr="00734304" w:rsidRDefault="00E51191" w:rsidP="00E51191">
      <w:pPr>
        <w:rPr>
          <w:i/>
          <w:iCs/>
        </w:rPr>
      </w:pPr>
      <w:r w:rsidRPr="00734304">
        <w:rPr>
          <w:i/>
          <w:iCs/>
        </w:rPr>
        <w:t>Tabel IV.6.: Den fortrængte mængde CO2 (i ton/år) som resultat af den reelle genanvendelse af genbrugspladsindsamlet Bygge- og anlægsaffald i 2020, og de forventede mængder i 2025 og 2030. Summerede mængder tillige omregnet til kg/husstand/år.</w:t>
      </w:r>
    </w:p>
    <w:p w14:paraId="1D5E5B31" w14:textId="77777777" w:rsidR="00E51191" w:rsidRPr="00734304" w:rsidRDefault="00E51191" w:rsidP="00E51191">
      <w:r w:rsidRPr="00734304">
        <w:rPr>
          <w:noProof/>
        </w:rPr>
        <w:drawing>
          <wp:inline distT="0" distB="0" distL="0" distR="0" wp14:anchorId="51F0D79B" wp14:editId="1F8C3A3D">
            <wp:extent cx="5725160" cy="2675255"/>
            <wp:effectExtent l="0" t="0" r="8890"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25160" cy="2675255"/>
                    </a:xfrm>
                    <a:prstGeom prst="rect">
                      <a:avLst/>
                    </a:prstGeom>
                    <a:noFill/>
                    <a:ln>
                      <a:noFill/>
                    </a:ln>
                  </pic:spPr>
                </pic:pic>
              </a:graphicData>
            </a:graphic>
          </wp:inline>
        </w:drawing>
      </w:r>
    </w:p>
    <w:p w14:paraId="47DD29DD" w14:textId="77777777" w:rsidR="00E51191" w:rsidRPr="00734304" w:rsidRDefault="00E51191" w:rsidP="00E51191"/>
    <w:p w14:paraId="0A9BCC92" w14:textId="0D4D14B4" w:rsidR="00E51191" w:rsidRDefault="00E51191" w:rsidP="00E51191">
      <w:r w:rsidRPr="00734304">
        <w:t>De samlede fortrængte mængder som resultat af reel genanvendelse af de forskellige kategorier af affald i perioden 2014-2020 og de forventede fortrængninger i 2025 og 2030 er gengivet i Tabel IV.7. og figur IV.3.</w:t>
      </w:r>
    </w:p>
    <w:p w14:paraId="61200133" w14:textId="77777777" w:rsidR="00674646" w:rsidRPr="00734304" w:rsidRDefault="00674646" w:rsidP="00E51191">
      <w:pPr>
        <w:rPr>
          <w:i/>
          <w:iCs/>
        </w:rPr>
      </w:pPr>
    </w:p>
    <w:p w14:paraId="1603A2E1" w14:textId="77777777" w:rsidR="00E51191" w:rsidRPr="00734304" w:rsidRDefault="00E51191" w:rsidP="00E51191">
      <w:pPr>
        <w:rPr>
          <w:i/>
          <w:iCs/>
        </w:rPr>
      </w:pPr>
      <w:r w:rsidRPr="00734304">
        <w:rPr>
          <w:i/>
          <w:iCs/>
        </w:rPr>
        <w:t xml:space="preserve">Tabel IV.7.: De samlede fortrængte CO2-mængder i ton/ år som resultat af reel genanvendelse af de forskellige kategorier af affald i 2014 og i perioden 2017-2020 samt de forventede fortrængninger i 2025 og 2030. </w:t>
      </w:r>
    </w:p>
    <w:p w14:paraId="248C612A" w14:textId="77777777" w:rsidR="00E51191" w:rsidRPr="00734304" w:rsidRDefault="00E51191" w:rsidP="00E51191">
      <w:pPr>
        <w:rPr>
          <w:i/>
          <w:iCs/>
        </w:rPr>
      </w:pPr>
      <w:r w:rsidRPr="00734304">
        <w:rPr>
          <w:noProof/>
        </w:rPr>
        <w:drawing>
          <wp:inline distT="0" distB="0" distL="0" distR="0" wp14:anchorId="61A30356" wp14:editId="45C3D787">
            <wp:extent cx="5725160" cy="770890"/>
            <wp:effectExtent l="0" t="0" r="889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25160" cy="770890"/>
                    </a:xfrm>
                    <a:prstGeom prst="rect">
                      <a:avLst/>
                    </a:prstGeom>
                    <a:noFill/>
                    <a:ln>
                      <a:noFill/>
                    </a:ln>
                  </pic:spPr>
                </pic:pic>
              </a:graphicData>
            </a:graphic>
          </wp:inline>
        </w:drawing>
      </w:r>
      <w:r w:rsidRPr="00734304">
        <w:rPr>
          <w:i/>
          <w:iCs/>
        </w:rPr>
        <w:br/>
      </w:r>
      <w:r w:rsidRPr="00734304">
        <w:rPr>
          <w:i/>
          <w:iCs/>
        </w:rPr>
        <w:br/>
      </w:r>
    </w:p>
    <w:p w14:paraId="3878506A" w14:textId="77777777" w:rsidR="00E51191" w:rsidRPr="00734304" w:rsidRDefault="00E51191" w:rsidP="00E51191"/>
    <w:p w14:paraId="7AB1C946" w14:textId="77777777" w:rsidR="00E51191" w:rsidRPr="00734304" w:rsidRDefault="00E51191" w:rsidP="00E51191"/>
    <w:p w14:paraId="1183694F" w14:textId="77777777" w:rsidR="00E51191" w:rsidRPr="00734304" w:rsidRDefault="00E51191" w:rsidP="00E51191"/>
    <w:p w14:paraId="796BBE4F" w14:textId="77777777" w:rsidR="00E51191" w:rsidRPr="00734304" w:rsidRDefault="00E51191" w:rsidP="00E51191">
      <w:pPr>
        <w:rPr>
          <w:i/>
          <w:iCs/>
        </w:rPr>
      </w:pPr>
    </w:p>
    <w:p w14:paraId="3570C8E6" w14:textId="77777777" w:rsidR="00E51191" w:rsidRPr="00734304" w:rsidRDefault="00E51191" w:rsidP="00E51191">
      <w:pPr>
        <w:rPr>
          <w:i/>
          <w:iCs/>
        </w:rPr>
      </w:pPr>
    </w:p>
    <w:p w14:paraId="42D7DE1F" w14:textId="77777777" w:rsidR="00E51191" w:rsidRPr="00734304" w:rsidRDefault="00E51191" w:rsidP="00E51191">
      <w:pPr>
        <w:rPr>
          <w:i/>
          <w:iCs/>
        </w:rPr>
      </w:pPr>
    </w:p>
    <w:p w14:paraId="3CD08B18" w14:textId="77777777" w:rsidR="00E51191" w:rsidRPr="00734304" w:rsidRDefault="00E51191" w:rsidP="00E51191">
      <w:pPr>
        <w:rPr>
          <w:i/>
          <w:iCs/>
        </w:rPr>
      </w:pPr>
      <w:r w:rsidRPr="00734304">
        <w:rPr>
          <w:i/>
          <w:iCs/>
        </w:rPr>
        <w:lastRenderedPageBreak/>
        <w:t>Figur IV.3.: Grafisk gengivelse af Tabel IV.7.</w:t>
      </w:r>
    </w:p>
    <w:p w14:paraId="2774DC21" w14:textId="77777777" w:rsidR="00E51191" w:rsidRPr="00734304" w:rsidRDefault="00E51191" w:rsidP="00E51191">
      <w:r w:rsidRPr="00734304">
        <w:rPr>
          <w:noProof/>
        </w:rPr>
        <w:drawing>
          <wp:inline distT="0" distB="0" distL="0" distR="0" wp14:anchorId="0530355B" wp14:editId="257B9956">
            <wp:extent cx="4572000" cy="2743200"/>
            <wp:effectExtent l="0" t="0" r="0" b="0"/>
            <wp:docPr id="19" name="Diagram 19">
              <a:extLst xmlns:a="http://schemas.openxmlformats.org/drawingml/2006/main">
                <a:ext uri="{FF2B5EF4-FFF2-40B4-BE49-F238E27FC236}">
                  <a16:creationId xmlns:a16="http://schemas.microsoft.com/office/drawing/2014/main" id="{5358BC96-2C8C-4F2B-914F-1C1D9F7F05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76AA6F77" w14:textId="77777777" w:rsidR="00674646" w:rsidRDefault="00674646" w:rsidP="00E51191"/>
    <w:p w14:paraId="5DAD720F" w14:textId="78C9F434" w:rsidR="00E51191" w:rsidRPr="00734304" w:rsidRDefault="00E51191" w:rsidP="00E51191">
      <w:r w:rsidRPr="00734304">
        <w:t>Som det fremgår af Afsnit 5, bidrager forventet øget reel genanvendelse af tekstilaffald med over 80 % af den samlede vækst i CO2-fortrængdningen i 2025 – primært fordi Miljøministeriet regner CO2-gevinsten ved reel genanvendelse af tekstil til 7,1 kg CO2/kg tekstil. Det forudsætter, at den genanvendte tekstil fortrænger virgine tekstilfibre ved fremstilling af nye tekstiler – et scenarie, der imidlertid ikke forekommer særlig sandsynligt i 2025.</w:t>
      </w:r>
    </w:p>
    <w:p w14:paraId="57F2903F" w14:textId="77777777" w:rsidR="00674646" w:rsidRDefault="00674646" w:rsidP="00E51191">
      <w:pPr>
        <w:rPr>
          <w:i/>
          <w:iCs/>
        </w:rPr>
      </w:pPr>
    </w:p>
    <w:p w14:paraId="52964807" w14:textId="77777777" w:rsidR="00674646" w:rsidRDefault="00E51191" w:rsidP="00E51191">
      <w:r w:rsidRPr="00734304">
        <w:rPr>
          <w:i/>
          <w:iCs/>
        </w:rPr>
        <w:t>CO2-emissioner forbundet med transportarbejde for de husstandsindsamlede, genanvendelige fraktioner:</w:t>
      </w:r>
      <w:r w:rsidRPr="00734304">
        <w:rPr>
          <w:i/>
          <w:iCs/>
        </w:rPr>
        <w:br/>
      </w:r>
    </w:p>
    <w:p w14:paraId="61FD9AE4" w14:textId="0F9497F5" w:rsidR="00E51191" w:rsidRPr="00734304" w:rsidRDefault="00E51191" w:rsidP="00E51191">
      <w:r w:rsidRPr="00734304">
        <w:t>Husstandsindsamling og fjerntransport (med henblik på sortering, oparbejdning og genanvendelse) af genanvendeligt affald giver i sig selv anledning til CO2-udledninger, men ikke i større udstrækning end at det fortsat er en betragtelig CO2-gevinst forbundet med genanvendelsen. Hertil skal lægges, at også tilvejebringelse af virgine råstoffer jo er forbundet med et transportarbejde, hvis størrelse oftest er ukendt.</w:t>
      </w:r>
    </w:p>
    <w:p w14:paraId="023BF9BC" w14:textId="77777777" w:rsidR="00674646" w:rsidRDefault="00674646" w:rsidP="00E51191"/>
    <w:p w14:paraId="0A498848" w14:textId="6A560CF5" w:rsidR="00E51191" w:rsidRPr="00734304" w:rsidRDefault="00E51191" w:rsidP="00E51191">
      <w:r w:rsidRPr="00734304">
        <w:t>I Tabel IV.8. er de væsentligste emissioner forbundet med transportarbejdet ved indsamling og langtransport af genanvendelige materialer i de nuværende ordninger opgjort til illustration af størrelsesforholdene.</w:t>
      </w:r>
    </w:p>
    <w:p w14:paraId="4508AC62" w14:textId="77777777" w:rsidR="00674646" w:rsidRDefault="00674646">
      <w:pPr>
        <w:suppressAutoHyphens w:val="0"/>
        <w:autoSpaceDN/>
        <w:spacing w:after="200" w:line="276" w:lineRule="auto"/>
        <w:textAlignment w:val="auto"/>
        <w:rPr>
          <w:i/>
          <w:iCs/>
        </w:rPr>
      </w:pPr>
      <w:r>
        <w:rPr>
          <w:i/>
          <w:iCs/>
        </w:rPr>
        <w:br w:type="page"/>
      </w:r>
    </w:p>
    <w:p w14:paraId="41FDF9B7" w14:textId="24DCAE5C" w:rsidR="00E51191" w:rsidRPr="00734304" w:rsidRDefault="00E51191" w:rsidP="00E51191">
      <w:pPr>
        <w:rPr>
          <w:i/>
          <w:iCs/>
        </w:rPr>
      </w:pPr>
      <w:r w:rsidRPr="00734304">
        <w:rPr>
          <w:i/>
          <w:iCs/>
        </w:rPr>
        <w:lastRenderedPageBreak/>
        <w:t>Tabel IV.8.: CO2-emissioner ved transportarbejde forbundet med indsamling og langtransport af papir, MGP og madaffald, udtrykt i kg/husstand/år, sammenlignet med de tilsvarende gevinster ved genanvendelsen. Når det indsamlede affald genanvendes, fortrænger det 169 kg CO2/husstand om året, men der udledes også 35,5 kg CO2/husstand om året ved selve indsamlingen og transporten af affaldet frem til genanvendelsen</w:t>
      </w:r>
      <w:r w:rsidR="002C4D05">
        <w:t xml:space="preserve">. </w:t>
      </w:r>
      <w:r w:rsidR="002C4D05" w:rsidRPr="002C4D05">
        <w:rPr>
          <w:i/>
          <w:iCs/>
        </w:rPr>
        <w:t>Sammenlagt reduceres i størrelsesordenen 21 % af de samlede CO2-gevinster af udledninger ved transportarbejde</w:t>
      </w:r>
      <w:r w:rsidRPr="002C4D05">
        <w:rPr>
          <w:i/>
          <w:iCs/>
        </w:rPr>
        <w:t>.</w:t>
      </w:r>
      <w:r w:rsidRPr="00734304">
        <w:rPr>
          <w:i/>
          <w:iCs/>
        </w:rPr>
        <w:t xml:space="preserve"> </w:t>
      </w:r>
    </w:p>
    <w:tbl>
      <w:tblPr>
        <w:tblStyle w:val="Tabel-Gitter"/>
        <w:tblW w:w="0" w:type="auto"/>
        <w:tblLook w:val="04A0" w:firstRow="1" w:lastRow="0" w:firstColumn="1" w:lastColumn="0" w:noHBand="0" w:noVBand="1"/>
      </w:tblPr>
      <w:tblGrid>
        <w:gridCol w:w="2972"/>
        <w:gridCol w:w="767"/>
        <w:gridCol w:w="856"/>
        <w:gridCol w:w="856"/>
        <w:gridCol w:w="996"/>
        <w:gridCol w:w="1084"/>
      </w:tblGrid>
      <w:tr w:rsidR="00E51191" w:rsidRPr="00734304" w14:paraId="084B4DC5" w14:textId="77777777" w:rsidTr="00E51191">
        <w:trPr>
          <w:trHeight w:val="300"/>
        </w:trPr>
        <w:tc>
          <w:tcPr>
            <w:tcW w:w="7175" w:type="dxa"/>
            <w:gridSpan w:val="6"/>
            <w:noWrap/>
            <w:hideMark/>
          </w:tcPr>
          <w:p w14:paraId="4761A6DD" w14:textId="77777777" w:rsidR="00E51191" w:rsidRPr="00734304" w:rsidRDefault="00E51191" w:rsidP="00E51191">
            <w:pPr>
              <w:rPr>
                <w:b/>
                <w:bCs/>
              </w:rPr>
            </w:pPr>
            <w:r w:rsidRPr="00734304">
              <w:rPr>
                <w:b/>
                <w:bCs/>
              </w:rPr>
              <w:t>Emissionsforhold, transportarbejde v. indsamling og langtransport</w:t>
            </w:r>
          </w:p>
        </w:tc>
      </w:tr>
      <w:tr w:rsidR="00E51191" w:rsidRPr="00734304" w14:paraId="49461E14" w14:textId="77777777" w:rsidTr="00E51191">
        <w:trPr>
          <w:trHeight w:val="300"/>
        </w:trPr>
        <w:tc>
          <w:tcPr>
            <w:tcW w:w="2972" w:type="dxa"/>
            <w:noWrap/>
            <w:hideMark/>
          </w:tcPr>
          <w:p w14:paraId="4BF33E1B" w14:textId="77777777" w:rsidR="00E51191" w:rsidRPr="00734304" w:rsidRDefault="00E51191" w:rsidP="00E51191">
            <w:pPr>
              <w:rPr>
                <w:b/>
                <w:bCs/>
              </w:rPr>
            </w:pPr>
            <w:r w:rsidRPr="00734304">
              <w:rPr>
                <w:b/>
                <w:bCs/>
              </w:rPr>
              <w:t>Kg CO2/husstand</w:t>
            </w:r>
          </w:p>
        </w:tc>
        <w:tc>
          <w:tcPr>
            <w:tcW w:w="411" w:type="dxa"/>
            <w:noWrap/>
            <w:hideMark/>
          </w:tcPr>
          <w:p w14:paraId="4DA26CD9" w14:textId="77777777" w:rsidR="00E51191" w:rsidRPr="00734304" w:rsidRDefault="00E51191" w:rsidP="00E51191">
            <w:r w:rsidRPr="00734304">
              <w:t>Papir</w:t>
            </w:r>
          </w:p>
        </w:tc>
        <w:tc>
          <w:tcPr>
            <w:tcW w:w="856" w:type="dxa"/>
            <w:noWrap/>
            <w:hideMark/>
          </w:tcPr>
          <w:p w14:paraId="6B368EE8" w14:textId="77777777" w:rsidR="00E51191" w:rsidRPr="00734304" w:rsidRDefault="00E51191" w:rsidP="00E51191">
            <w:r w:rsidRPr="00734304">
              <w:t>MGP</w:t>
            </w:r>
          </w:p>
        </w:tc>
        <w:tc>
          <w:tcPr>
            <w:tcW w:w="856" w:type="dxa"/>
            <w:noWrap/>
            <w:hideMark/>
          </w:tcPr>
          <w:p w14:paraId="27153E76" w14:textId="77777777" w:rsidR="00E51191" w:rsidRPr="00734304" w:rsidRDefault="00E51191" w:rsidP="00E51191">
            <w:r w:rsidRPr="00734304">
              <w:t>Mad</w:t>
            </w:r>
          </w:p>
        </w:tc>
        <w:tc>
          <w:tcPr>
            <w:tcW w:w="996" w:type="dxa"/>
            <w:noWrap/>
            <w:hideMark/>
          </w:tcPr>
          <w:p w14:paraId="750A0929" w14:textId="77777777" w:rsidR="00E51191" w:rsidRPr="00734304" w:rsidRDefault="00E51191" w:rsidP="00E51191">
            <w:r w:rsidRPr="00734304">
              <w:t>I alt</w:t>
            </w:r>
          </w:p>
        </w:tc>
        <w:tc>
          <w:tcPr>
            <w:tcW w:w="1084" w:type="dxa"/>
            <w:noWrap/>
            <w:hideMark/>
          </w:tcPr>
          <w:p w14:paraId="1D0E5100" w14:textId="77777777" w:rsidR="00E51191" w:rsidRPr="00734304" w:rsidRDefault="00E51191" w:rsidP="00E51191">
            <w:pPr>
              <w:jc w:val="center"/>
            </w:pPr>
            <w:r w:rsidRPr="00734304">
              <w:t>% af fort.</w:t>
            </w:r>
          </w:p>
        </w:tc>
      </w:tr>
      <w:tr w:rsidR="00E51191" w:rsidRPr="00734304" w14:paraId="65C0DFDF" w14:textId="77777777" w:rsidTr="00E51191">
        <w:trPr>
          <w:trHeight w:val="300"/>
        </w:trPr>
        <w:tc>
          <w:tcPr>
            <w:tcW w:w="2972" w:type="dxa"/>
            <w:noWrap/>
            <w:hideMark/>
          </w:tcPr>
          <w:p w14:paraId="21FCBE22" w14:textId="77777777" w:rsidR="00E51191" w:rsidRPr="00734304" w:rsidRDefault="00E51191" w:rsidP="00E51191">
            <w:r w:rsidRPr="00734304">
              <w:t>Inds., kg/hs/år</w:t>
            </w:r>
          </w:p>
        </w:tc>
        <w:tc>
          <w:tcPr>
            <w:tcW w:w="411" w:type="dxa"/>
            <w:noWrap/>
            <w:hideMark/>
          </w:tcPr>
          <w:p w14:paraId="7816E229" w14:textId="77777777" w:rsidR="00E51191" w:rsidRPr="00734304" w:rsidRDefault="00E51191" w:rsidP="00E51191">
            <w:pPr>
              <w:jc w:val="right"/>
            </w:pPr>
            <w:r w:rsidRPr="00734304">
              <w:t xml:space="preserve"> 7,78 </w:t>
            </w:r>
          </w:p>
        </w:tc>
        <w:tc>
          <w:tcPr>
            <w:tcW w:w="856" w:type="dxa"/>
            <w:noWrap/>
            <w:hideMark/>
          </w:tcPr>
          <w:p w14:paraId="20EF277F" w14:textId="77777777" w:rsidR="00E51191" w:rsidRPr="00734304" w:rsidRDefault="00E51191" w:rsidP="00E51191">
            <w:pPr>
              <w:jc w:val="right"/>
            </w:pPr>
            <w:r w:rsidRPr="00734304">
              <w:t xml:space="preserve"> 9,00 </w:t>
            </w:r>
          </w:p>
        </w:tc>
        <w:tc>
          <w:tcPr>
            <w:tcW w:w="856" w:type="dxa"/>
            <w:noWrap/>
            <w:hideMark/>
          </w:tcPr>
          <w:p w14:paraId="11CAFC7F" w14:textId="77777777" w:rsidR="00E51191" w:rsidRPr="00734304" w:rsidRDefault="00E51191" w:rsidP="00E51191">
            <w:pPr>
              <w:jc w:val="right"/>
            </w:pPr>
            <w:r w:rsidRPr="00734304">
              <w:t xml:space="preserve">11,94 </w:t>
            </w:r>
          </w:p>
        </w:tc>
        <w:tc>
          <w:tcPr>
            <w:tcW w:w="996" w:type="dxa"/>
            <w:noWrap/>
            <w:hideMark/>
          </w:tcPr>
          <w:p w14:paraId="334540F2" w14:textId="77777777" w:rsidR="00E51191" w:rsidRPr="00734304" w:rsidRDefault="00E51191" w:rsidP="00E51191">
            <w:pPr>
              <w:jc w:val="right"/>
            </w:pPr>
            <w:r w:rsidRPr="00734304">
              <w:t xml:space="preserve"> 28,71 </w:t>
            </w:r>
          </w:p>
        </w:tc>
        <w:tc>
          <w:tcPr>
            <w:tcW w:w="1084" w:type="dxa"/>
            <w:noWrap/>
            <w:hideMark/>
          </w:tcPr>
          <w:p w14:paraId="02D94F39" w14:textId="77777777" w:rsidR="00E51191" w:rsidRPr="00734304" w:rsidRDefault="00E51191" w:rsidP="00E51191">
            <w:pPr>
              <w:jc w:val="center"/>
              <w:rPr>
                <w:i/>
                <w:iCs/>
              </w:rPr>
            </w:pPr>
            <w:r w:rsidRPr="00734304">
              <w:rPr>
                <w:i/>
                <w:iCs/>
              </w:rPr>
              <w:t>17,0</w:t>
            </w:r>
          </w:p>
        </w:tc>
      </w:tr>
      <w:tr w:rsidR="00E51191" w:rsidRPr="00734304" w14:paraId="732EAA4D" w14:textId="77777777" w:rsidTr="00E51191">
        <w:trPr>
          <w:trHeight w:val="300"/>
        </w:trPr>
        <w:tc>
          <w:tcPr>
            <w:tcW w:w="2972" w:type="dxa"/>
            <w:noWrap/>
            <w:hideMark/>
          </w:tcPr>
          <w:p w14:paraId="335967A0" w14:textId="77777777" w:rsidR="00E51191" w:rsidRPr="00734304" w:rsidRDefault="00E51191" w:rsidP="00E51191">
            <w:r w:rsidRPr="00734304">
              <w:t>Langtransp., kg/hs/år</w:t>
            </w:r>
          </w:p>
        </w:tc>
        <w:tc>
          <w:tcPr>
            <w:tcW w:w="411" w:type="dxa"/>
            <w:noWrap/>
            <w:hideMark/>
          </w:tcPr>
          <w:p w14:paraId="07E9280A" w14:textId="77777777" w:rsidR="00E51191" w:rsidRPr="00734304" w:rsidRDefault="00E51191" w:rsidP="00E51191">
            <w:pPr>
              <w:jc w:val="right"/>
            </w:pPr>
            <w:r w:rsidRPr="00734304">
              <w:t xml:space="preserve"> 2,14 </w:t>
            </w:r>
          </w:p>
        </w:tc>
        <w:tc>
          <w:tcPr>
            <w:tcW w:w="856" w:type="dxa"/>
            <w:noWrap/>
            <w:hideMark/>
          </w:tcPr>
          <w:p w14:paraId="16B1C2FB" w14:textId="77777777" w:rsidR="00E51191" w:rsidRPr="00734304" w:rsidRDefault="00E51191" w:rsidP="00E51191">
            <w:pPr>
              <w:jc w:val="right"/>
            </w:pPr>
            <w:r w:rsidRPr="00734304">
              <w:t xml:space="preserve"> 3,95 </w:t>
            </w:r>
          </w:p>
        </w:tc>
        <w:tc>
          <w:tcPr>
            <w:tcW w:w="856" w:type="dxa"/>
            <w:noWrap/>
            <w:hideMark/>
          </w:tcPr>
          <w:p w14:paraId="3C91C544" w14:textId="77777777" w:rsidR="00E51191" w:rsidRPr="00734304" w:rsidRDefault="00E51191" w:rsidP="00E51191">
            <w:pPr>
              <w:jc w:val="right"/>
            </w:pPr>
            <w:r w:rsidRPr="00734304">
              <w:t xml:space="preserve"> 0,67 </w:t>
            </w:r>
          </w:p>
        </w:tc>
        <w:tc>
          <w:tcPr>
            <w:tcW w:w="996" w:type="dxa"/>
            <w:noWrap/>
            <w:hideMark/>
          </w:tcPr>
          <w:p w14:paraId="3F499061" w14:textId="77777777" w:rsidR="00E51191" w:rsidRPr="00734304" w:rsidRDefault="00E51191" w:rsidP="00E51191">
            <w:pPr>
              <w:jc w:val="right"/>
            </w:pPr>
            <w:r w:rsidRPr="00734304">
              <w:t xml:space="preserve"> 6,76 </w:t>
            </w:r>
          </w:p>
        </w:tc>
        <w:tc>
          <w:tcPr>
            <w:tcW w:w="1084" w:type="dxa"/>
            <w:noWrap/>
            <w:hideMark/>
          </w:tcPr>
          <w:p w14:paraId="0434A871" w14:textId="77777777" w:rsidR="00E51191" w:rsidRPr="00734304" w:rsidRDefault="00E51191" w:rsidP="00E51191">
            <w:pPr>
              <w:jc w:val="center"/>
              <w:rPr>
                <w:i/>
                <w:iCs/>
              </w:rPr>
            </w:pPr>
            <w:r w:rsidRPr="00734304">
              <w:rPr>
                <w:i/>
                <w:iCs/>
              </w:rPr>
              <w:t>4,0</w:t>
            </w:r>
          </w:p>
        </w:tc>
      </w:tr>
      <w:tr w:rsidR="00E51191" w:rsidRPr="00734304" w14:paraId="7D1B0F9D" w14:textId="77777777" w:rsidTr="00E51191">
        <w:trPr>
          <w:trHeight w:val="300"/>
        </w:trPr>
        <w:tc>
          <w:tcPr>
            <w:tcW w:w="2972" w:type="dxa"/>
            <w:noWrap/>
            <w:hideMark/>
          </w:tcPr>
          <w:p w14:paraId="60482F1A" w14:textId="77777777" w:rsidR="00E51191" w:rsidRPr="00734304" w:rsidRDefault="00E51191" w:rsidP="00E51191">
            <w:r w:rsidRPr="00734304">
              <w:t>Transp. i alt, kg/hs/år</w:t>
            </w:r>
          </w:p>
        </w:tc>
        <w:tc>
          <w:tcPr>
            <w:tcW w:w="411" w:type="dxa"/>
            <w:noWrap/>
            <w:hideMark/>
          </w:tcPr>
          <w:p w14:paraId="4C43DE46" w14:textId="77777777" w:rsidR="00E51191" w:rsidRPr="00734304" w:rsidRDefault="00E51191" w:rsidP="00E51191">
            <w:pPr>
              <w:jc w:val="right"/>
            </w:pPr>
            <w:r w:rsidRPr="00734304">
              <w:t xml:space="preserve"> 9,92 </w:t>
            </w:r>
          </w:p>
        </w:tc>
        <w:tc>
          <w:tcPr>
            <w:tcW w:w="856" w:type="dxa"/>
            <w:noWrap/>
            <w:hideMark/>
          </w:tcPr>
          <w:p w14:paraId="62B2F77F" w14:textId="77777777" w:rsidR="00E51191" w:rsidRPr="00734304" w:rsidRDefault="00E51191" w:rsidP="00E51191">
            <w:pPr>
              <w:jc w:val="right"/>
            </w:pPr>
            <w:r w:rsidRPr="00734304">
              <w:t xml:space="preserve">12,95 </w:t>
            </w:r>
          </w:p>
        </w:tc>
        <w:tc>
          <w:tcPr>
            <w:tcW w:w="856" w:type="dxa"/>
            <w:noWrap/>
            <w:hideMark/>
          </w:tcPr>
          <w:p w14:paraId="06CDBBB3" w14:textId="77777777" w:rsidR="00E51191" w:rsidRPr="00734304" w:rsidRDefault="00E51191" w:rsidP="00E51191">
            <w:pPr>
              <w:jc w:val="right"/>
            </w:pPr>
            <w:r w:rsidRPr="00734304">
              <w:t xml:space="preserve">12,61 </w:t>
            </w:r>
          </w:p>
        </w:tc>
        <w:tc>
          <w:tcPr>
            <w:tcW w:w="996" w:type="dxa"/>
            <w:noWrap/>
            <w:hideMark/>
          </w:tcPr>
          <w:p w14:paraId="1DA67F79" w14:textId="77777777" w:rsidR="00E51191" w:rsidRPr="00734304" w:rsidRDefault="00E51191" w:rsidP="00E51191">
            <w:pPr>
              <w:jc w:val="right"/>
            </w:pPr>
            <w:r w:rsidRPr="00734304">
              <w:t xml:space="preserve"> 35,48 </w:t>
            </w:r>
          </w:p>
        </w:tc>
        <w:tc>
          <w:tcPr>
            <w:tcW w:w="1084" w:type="dxa"/>
            <w:noWrap/>
            <w:hideMark/>
          </w:tcPr>
          <w:p w14:paraId="1774F656" w14:textId="77777777" w:rsidR="00E51191" w:rsidRPr="002C4D05" w:rsidRDefault="00E51191" w:rsidP="00E51191">
            <w:pPr>
              <w:jc w:val="center"/>
              <w:rPr>
                <w:b/>
                <w:bCs/>
                <w:i/>
                <w:iCs/>
              </w:rPr>
            </w:pPr>
            <w:r w:rsidRPr="002C4D05">
              <w:rPr>
                <w:b/>
                <w:bCs/>
                <w:i/>
                <w:iCs/>
              </w:rPr>
              <w:t>21,0</w:t>
            </w:r>
          </w:p>
        </w:tc>
      </w:tr>
      <w:tr w:rsidR="00E51191" w:rsidRPr="00734304" w14:paraId="4E0CCACD" w14:textId="77777777" w:rsidTr="00E51191">
        <w:trPr>
          <w:trHeight w:val="300"/>
        </w:trPr>
        <w:tc>
          <w:tcPr>
            <w:tcW w:w="2972" w:type="dxa"/>
            <w:noWrap/>
            <w:hideMark/>
          </w:tcPr>
          <w:p w14:paraId="1232FA17" w14:textId="77777777" w:rsidR="00E51191" w:rsidRPr="00734304" w:rsidRDefault="00E51191" w:rsidP="00E51191">
            <w:pPr>
              <w:rPr>
                <w:lang w:val="en-US"/>
              </w:rPr>
            </w:pPr>
            <w:r w:rsidRPr="00734304">
              <w:rPr>
                <w:lang w:val="en-US"/>
              </w:rPr>
              <w:t>CO2-fortr., GA, kg/hs</w:t>
            </w:r>
          </w:p>
        </w:tc>
        <w:tc>
          <w:tcPr>
            <w:tcW w:w="411" w:type="dxa"/>
            <w:noWrap/>
            <w:hideMark/>
          </w:tcPr>
          <w:p w14:paraId="48B1082A" w14:textId="77777777" w:rsidR="00E51191" w:rsidRPr="00734304" w:rsidRDefault="00E51191" w:rsidP="00E51191">
            <w:pPr>
              <w:jc w:val="right"/>
            </w:pPr>
            <w:r w:rsidRPr="00734304">
              <w:t xml:space="preserve">97,75 </w:t>
            </w:r>
          </w:p>
        </w:tc>
        <w:tc>
          <w:tcPr>
            <w:tcW w:w="856" w:type="dxa"/>
            <w:noWrap/>
            <w:hideMark/>
          </w:tcPr>
          <w:p w14:paraId="4A931BDB" w14:textId="77777777" w:rsidR="00E51191" w:rsidRPr="00734304" w:rsidRDefault="00E51191" w:rsidP="00E51191">
            <w:pPr>
              <w:jc w:val="right"/>
            </w:pPr>
            <w:r w:rsidRPr="00734304">
              <w:t xml:space="preserve">57,90 </w:t>
            </w:r>
          </w:p>
        </w:tc>
        <w:tc>
          <w:tcPr>
            <w:tcW w:w="856" w:type="dxa"/>
            <w:noWrap/>
            <w:hideMark/>
          </w:tcPr>
          <w:p w14:paraId="08A09048" w14:textId="77777777" w:rsidR="00E51191" w:rsidRPr="00734304" w:rsidRDefault="00E51191" w:rsidP="00E51191">
            <w:pPr>
              <w:jc w:val="right"/>
            </w:pPr>
            <w:r w:rsidRPr="00734304">
              <w:t xml:space="preserve">13,28 </w:t>
            </w:r>
          </w:p>
        </w:tc>
        <w:tc>
          <w:tcPr>
            <w:tcW w:w="996" w:type="dxa"/>
            <w:noWrap/>
            <w:hideMark/>
          </w:tcPr>
          <w:p w14:paraId="12CBC6F7" w14:textId="77777777" w:rsidR="00E51191" w:rsidRPr="00734304" w:rsidRDefault="00E51191" w:rsidP="00E51191">
            <w:pPr>
              <w:jc w:val="right"/>
            </w:pPr>
            <w:r w:rsidRPr="00734304">
              <w:t xml:space="preserve">168,94 </w:t>
            </w:r>
          </w:p>
        </w:tc>
        <w:tc>
          <w:tcPr>
            <w:tcW w:w="1084" w:type="dxa"/>
            <w:noWrap/>
            <w:hideMark/>
          </w:tcPr>
          <w:p w14:paraId="2E9CBD09" w14:textId="77777777" w:rsidR="00E51191" w:rsidRPr="00734304" w:rsidRDefault="00E51191" w:rsidP="00E51191">
            <w:pPr>
              <w:jc w:val="center"/>
              <w:rPr>
                <w:i/>
                <w:iCs/>
              </w:rPr>
            </w:pPr>
            <w:r w:rsidRPr="00734304">
              <w:rPr>
                <w:i/>
                <w:iCs/>
              </w:rPr>
              <w:t>100,0</w:t>
            </w:r>
          </w:p>
        </w:tc>
      </w:tr>
      <w:tr w:rsidR="00E51191" w:rsidRPr="00734304" w14:paraId="07C5D69F" w14:textId="77777777" w:rsidTr="00E51191">
        <w:trPr>
          <w:trHeight w:val="300"/>
        </w:trPr>
        <w:tc>
          <w:tcPr>
            <w:tcW w:w="2972" w:type="dxa"/>
            <w:noWrap/>
            <w:hideMark/>
          </w:tcPr>
          <w:p w14:paraId="5BCCEDB7" w14:textId="77777777" w:rsidR="00E51191" w:rsidRPr="00734304" w:rsidRDefault="00E51191" w:rsidP="00E51191">
            <w:r w:rsidRPr="00734304">
              <w:t>Netto fortr., kg/hs/år</w:t>
            </w:r>
          </w:p>
        </w:tc>
        <w:tc>
          <w:tcPr>
            <w:tcW w:w="411" w:type="dxa"/>
            <w:noWrap/>
            <w:hideMark/>
          </w:tcPr>
          <w:p w14:paraId="5FC87E1D" w14:textId="77777777" w:rsidR="00E51191" w:rsidRPr="00734304" w:rsidRDefault="00E51191" w:rsidP="00E51191">
            <w:pPr>
              <w:jc w:val="right"/>
            </w:pPr>
            <w:r w:rsidRPr="00734304">
              <w:t xml:space="preserve">87,83 </w:t>
            </w:r>
          </w:p>
        </w:tc>
        <w:tc>
          <w:tcPr>
            <w:tcW w:w="856" w:type="dxa"/>
            <w:noWrap/>
            <w:hideMark/>
          </w:tcPr>
          <w:p w14:paraId="299B094F" w14:textId="77777777" w:rsidR="00E51191" w:rsidRPr="00734304" w:rsidRDefault="00E51191" w:rsidP="00E51191">
            <w:pPr>
              <w:jc w:val="right"/>
            </w:pPr>
            <w:r w:rsidRPr="00734304">
              <w:t xml:space="preserve">44,95 </w:t>
            </w:r>
          </w:p>
        </w:tc>
        <w:tc>
          <w:tcPr>
            <w:tcW w:w="856" w:type="dxa"/>
            <w:noWrap/>
            <w:hideMark/>
          </w:tcPr>
          <w:p w14:paraId="3BC0EF52" w14:textId="77777777" w:rsidR="00E51191" w:rsidRPr="00734304" w:rsidRDefault="00E51191" w:rsidP="00E51191">
            <w:pPr>
              <w:jc w:val="right"/>
            </w:pPr>
            <w:r w:rsidRPr="00734304">
              <w:t xml:space="preserve"> 0,67 </w:t>
            </w:r>
          </w:p>
        </w:tc>
        <w:tc>
          <w:tcPr>
            <w:tcW w:w="996" w:type="dxa"/>
            <w:noWrap/>
            <w:hideMark/>
          </w:tcPr>
          <w:p w14:paraId="73A9EB89" w14:textId="77777777" w:rsidR="00E51191" w:rsidRPr="00734304" w:rsidRDefault="00E51191" w:rsidP="00E51191">
            <w:pPr>
              <w:jc w:val="right"/>
            </w:pPr>
            <w:r w:rsidRPr="00734304">
              <w:t xml:space="preserve">133,46 </w:t>
            </w:r>
          </w:p>
        </w:tc>
        <w:tc>
          <w:tcPr>
            <w:tcW w:w="1084" w:type="dxa"/>
            <w:noWrap/>
            <w:hideMark/>
          </w:tcPr>
          <w:p w14:paraId="58BDE34D" w14:textId="77777777" w:rsidR="00E51191" w:rsidRPr="00734304" w:rsidRDefault="00E51191" w:rsidP="00E51191">
            <w:pPr>
              <w:jc w:val="center"/>
              <w:rPr>
                <w:i/>
                <w:iCs/>
              </w:rPr>
            </w:pPr>
            <w:r w:rsidRPr="00734304">
              <w:rPr>
                <w:i/>
                <w:iCs/>
              </w:rPr>
              <w:t>79,0</w:t>
            </w:r>
          </w:p>
        </w:tc>
      </w:tr>
    </w:tbl>
    <w:p w14:paraId="4BC7367A" w14:textId="77777777" w:rsidR="00E51191" w:rsidRPr="00734304" w:rsidRDefault="00E51191" w:rsidP="00E51191"/>
    <w:p w14:paraId="3481C04F" w14:textId="77777777" w:rsidR="00E51191" w:rsidRPr="00734304" w:rsidRDefault="00E51191" w:rsidP="00E51191"/>
    <w:bookmarkEnd w:id="521"/>
    <w:bookmarkEnd w:id="522"/>
    <w:p w14:paraId="12CB51E0" w14:textId="5D4F8E0D" w:rsidR="00083B83" w:rsidRPr="00734304" w:rsidRDefault="00083B83" w:rsidP="00734304">
      <w:pPr>
        <w:pStyle w:val="Overskrift2"/>
        <w:numPr>
          <w:ilvl w:val="0"/>
          <w:numId w:val="0"/>
        </w:numPr>
        <w:rPr>
          <w:rFonts w:ascii="Arial" w:eastAsia="Times New Roman" w:hAnsi="Arial" w:cs="Arial"/>
          <w:szCs w:val="22"/>
        </w:rPr>
      </w:pPr>
    </w:p>
    <w:sectPr w:rsidR="00083B83" w:rsidRPr="00734304" w:rsidSect="00C01D48">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EDFAB" w14:textId="77777777" w:rsidR="000A512E" w:rsidRPr="00380B51" w:rsidRDefault="000A512E" w:rsidP="005C6EE6">
      <w:r w:rsidRPr="00380B51">
        <w:separator/>
      </w:r>
    </w:p>
  </w:endnote>
  <w:endnote w:type="continuationSeparator" w:id="0">
    <w:p w14:paraId="5EFDFD5E" w14:textId="77777777" w:rsidR="000A512E" w:rsidRPr="00380B51" w:rsidRDefault="000A512E" w:rsidP="005C6EE6">
      <w:r w:rsidRPr="00380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2986E" w14:textId="77777777" w:rsidR="000A512E" w:rsidRDefault="000A512E" w:rsidP="005C6EE6">
    <w:pPr>
      <w:pStyle w:val="Sidefod"/>
    </w:pPr>
    <w:r>
      <w:rPr>
        <w:noProof/>
        <w:lang w:eastAsia="da-DK"/>
      </w:rPr>
      <w:drawing>
        <wp:anchor distT="0" distB="0" distL="114300" distR="114300" simplePos="0" relativeHeight="251664384" behindDoc="1" locked="0" layoutInCell="1" allowOverlap="1" wp14:anchorId="4AA58ABD" wp14:editId="4BC85EAF">
          <wp:simplePos x="0" y="0"/>
          <wp:positionH relativeFrom="page">
            <wp:posOffset>723900</wp:posOffset>
          </wp:positionH>
          <wp:positionV relativeFrom="page">
            <wp:posOffset>8924925</wp:posOffset>
          </wp:positionV>
          <wp:extent cx="3131820" cy="1043305"/>
          <wp:effectExtent l="0" t="0" r="0" b="4445"/>
          <wp:wrapNone/>
          <wp:docPr id="10" name="Billed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104330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2924713"/>
      <w:docPartObj>
        <w:docPartGallery w:val="Page Numbers (Bottom of Page)"/>
        <w:docPartUnique/>
      </w:docPartObj>
    </w:sdtPr>
    <w:sdtEndPr/>
    <w:sdtContent>
      <w:p w14:paraId="1ABC7221" w14:textId="77777777" w:rsidR="000A512E" w:rsidRPr="00741A24" w:rsidRDefault="000A512E" w:rsidP="007A7AC0">
        <w:pPr>
          <w:pStyle w:val="Sidefod"/>
          <w:jc w:val="right"/>
        </w:pPr>
        <w:r w:rsidRPr="00741A24">
          <w:fldChar w:fldCharType="begin"/>
        </w:r>
        <w:r w:rsidRPr="00741A24">
          <w:instrText>PAGE   \* MERGEFORMAT</w:instrText>
        </w:r>
        <w:r w:rsidRPr="00741A24">
          <w:fldChar w:fldCharType="separate"/>
        </w:r>
        <w:r>
          <w:rPr>
            <w:noProof/>
          </w:rPr>
          <w:t>2</w:t>
        </w:r>
        <w:r w:rsidRPr="00741A24">
          <w:fldChar w:fldCharType="end"/>
        </w:r>
      </w:p>
    </w:sdtContent>
  </w:sdt>
  <w:p w14:paraId="4A731BE7" w14:textId="77777777" w:rsidR="000A512E" w:rsidRPr="00A03672" w:rsidRDefault="000A512E" w:rsidP="005C6EE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0CC74" w14:textId="77777777" w:rsidR="000A512E" w:rsidRPr="00380B51" w:rsidRDefault="000A512E" w:rsidP="005C6EE6">
      <w:r w:rsidRPr="00380B51">
        <w:separator/>
      </w:r>
    </w:p>
  </w:footnote>
  <w:footnote w:type="continuationSeparator" w:id="0">
    <w:p w14:paraId="5A88FA39" w14:textId="77777777" w:rsidR="000A512E" w:rsidRPr="00380B51" w:rsidRDefault="000A512E" w:rsidP="005C6EE6">
      <w:r w:rsidRPr="00380B51">
        <w:continuationSeparator/>
      </w:r>
    </w:p>
  </w:footnote>
  <w:footnote w:id="1">
    <w:p w14:paraId="725DF190" w14:textId="77777777" w:rsidR="000A512E" w:rsidRDefault="000A512E" w:rsidP="005C6EE6">
      <w:pPr>
        <w:pStyle w:val="Fodnotetekst"/>
      </w:pPr>
      <w:r>
        <w:rPr>
          <w:rStyle w:val="Fodnotehenvisning"/>
        </w:rPr>
        <w:footnoteRef/>
      </w:r>
      <w:r>
        <w:t xml:space="preserve"> EUROPA-PARLAMENTETS OG RÅDETS DIREKTIV 2008/98/EF af 19. november 2008 om affald og om ophævelse af visse direktiver, som senest revideret ved Europa-Parlamentets og Rådets direktiv (EU) 2018/851 af 30. maj 2018.</w:t>
      </w:r>
    </w:p>
  </w:footnote>
  <w:footnote w:id="2">
    <w:p w14:paraId="19091694" w14:textId="77777777" w:rsidR="000A512E" w:rsidRDefault="000A512E" w:rsidP="005C6EE6">
      <w:pPr>
        <w:pStyle w:val="Fodnotetekst"/>
      </w:pPr>
      <w:r>
        <w:rPr>
          <w:rStyle w:val="Fodnotehenvisning"/>
        </w:rPr>
        <w:footnoteRef/>
      </w:r>
      <w:r>
        <w:t xml:space="preserve"> LBK nr. 1218 af 25/11/2019</w:t>
      </w:r>
    </w:p>
  </w:footnote>
  <w:footnote w:id="3">
    <w:p w14:paraId="0CB3E996" w14:textId="77777777" w:rsidR="000A512E" w:rsidRDefault="000A512E" w:rsidP="005C6EE6">
      <w:pPr>
        <w:pStyle w:val="Fodnotetekst"/>
      </w:pPr>
      <w:r>
        <w:rPr>
          <w:rStyle w:val="Fodnotehenvisning"/>
        </w:rPr>
        <w:footnoteRef/>
      </w:r>
      <w:r>
        <w:t xml:space="preserve"> BEK nr. 2159 af 09/12/2020 om affald</w:t>
      </w:r>
    </w:p>
  </w:footnote>
  <w:footnote w:id="4">
    <w:p w14:paraId="563B098A" w14:textId="77777777" w:rsidR="000A512E" w:rsidRDefault="000A512E" w:rsidP="005B4D03">
      <w:pPr>
        <w:pStyle w:val="Fodnotetekst"/>
      </w:pPr>
      <w:r>
        <w:rPr>
          <w:rStyle w:val="Fodnotehenvisning"/>
        </w:rPr>
        <w:footnoteRef/>
      </w:r>
      <w:r>
        <w:t xml:space="preserve"> Klimaplan for en grøn affaldssektor og cirkulær økonomi, 16. juni 2020. Aftale mellem regeringen (Socialdemokratiet) og Venstre, Radikale Venstre, Socialistisk Folkeparti, Enhedslisten, Det Konservative Folkeparti, Liberal Alliance og Alternativet</w:t>
      </w:r>
    </w:p>
  </w:footnote>
  <w:footnote w:id="5">
    <w:p w14:paraId="5216AF77" w14:textId="77777777" w:rsidR="000A512E" w:rsidRDefault="000A512E" w:rsidP="005C6EE6">
      <w:pPr>
        <w:pStyle w:val="Fodnotetekst"/>
      </w:pPr>
      <w:r>
        <w:rPr>
          <w:rStyle w:val="Fodnotehenvisning"/>
        </w:rPr>
        <w:footnoteRef/>
      </w:r>
      <w:r>
        <w:t xml:space="preserve"> EU-Kommissionens gennemførelsesafgørelse (EU) 2019/1004 af 7. juni 2019 om fastsættelse af regler for beregningen, verifikationen og rapportering af data om affald i overensstemmelse med Europa-Parlamentets og Rådets direktiv 2008/98/EF og om ophævelse af Kommissionens gennemførelsesafgørelse C(2012) 2384 (meddelt under nummer C(2019) 4114) af 9. juni 2019</w:t>
      </w:r>
    </w:p>
  </w:footnote>
  <w:footnote w:id="6">
    <w:p w14:paraId="4B5643DE" w14:textId="77777777" w:rsidR="000A512E" w:rsidRDefault="000A512E" w:rsidP="005C6EE6">
      <w:pPr>
        <w:pStyle w:val="Fodnotetekst"/>
      </w:pPr>
      <w:r>
        <w:rPr>
          <w:rStyle w:val="Fodnotehenvisning"/>
        </w:rPr>
        <w:footnoteRef/>
      </w:r>
      <w:r>
        <w:t xml:space="preserve"> Danmark uden affald, Ressourceplan for affaldshåndtering 2013-2018. Vejledning fra Miljøstyrelsen nr. 4, 2014.</w:t>
      </w:r>
    </w:p>
  </w:footnote>
  <w:footnote w:id="7">
    <w:p w14:paraId="47767B1B" w14:textId="77777777" w:rsidR="000A512E" w:rsidRDefault="000A512E" w:rsidP="005C6EE6">
      <w:pPr>
        <w:pStyle w:val="Fodnotetekst"/>
      </w:pPr>
      <w:r>
        <w:rPr>
          <w:rStyle w:val="Fodnotehenvisning"/>
        </w:rPr>
        <w:footnoteRef/>
      </w:r>
      <w:r>
        <w:t xml:space="preserve"> Således Affaldsstatistik 2018 og Affaldsstatistik 2019</w:t>
      </w:r>
    </w:p>
  </w:footnote>
  <w:footnote w:id="8">
    <w:p w14:paraId="275DA462" w14:textId="77777777" w:rsidR="000A512E" w:rsidRDefault="000A512E" w:rsidP="005C6EE6">
      <w:pPr>
        <w:pStyle w:val="Fodnotetekst"/>
      </w:pPr>
      <w:r>
        <w:rPr>
          <w:rStyle w:val="Fodnotehenvisning"/>
        </w:rPr>
        <w:footnoteRef/>
      </w:r>
      <w:r>
        <w:t xml:space="preserve"> CO2-opgørelser i den danske affaldsbranche – en vejledning. Tilgængelig her på DAKOFAs hjemmeside: https://dakofa.dk/vidensbank/energi-klima/co2-opgoerelser-i-den-danske-affaldsbranche-en-vejledning/</w:t>
      </w:r>
    </w:p>
  </w:footnote>
  <w:footnote w:id="9">
    <w:p w14:paraId="4E781AD1" w14:textId="77777777" w:rsidR="000A512E" w:rsidRDefault="000A512E" w:rsidP="005C6EE6">
      <w:pPr>
        <w:pStyle w:val="Fodnotetekst"/>
      </w:pPr>
      <w:r>
        <w:rPr>
          <w:rStyle w:val="Fodnotehenvisning"/>
        </w:rPr>
        <w:footnoteRef/>
      </w:r>
      <w:r>
        <w:t xml:space="preserve"> </w:t>
      </w:r>
      <w:r w:rsidRPr="005C56B6">
        <w:t>SBI 2019:08, Livscyklusvurdering for cirkulære løsninger med fokus på klimapåvirkning. Forskning i det byggede miljø, Polyteknisk Boghandel og Forlag ApS 2019</w:t>
      </w:r>
    </w:p>
  </w:footnote>
  <w:footnote w:id="10">
    <w:p w14:paraId="435E6965" w14:textId="77777777" w:rsidR="000A512E" w:rsidRDefault="000A512E" w:rsidP="00171DB7">
      <w:pPr>
        <w:pStyle w:val="Fodnotetekst"/>
      </w:pPr>
      <w:r w:rsidRPr="00171DB7">
        <w:rPr>
          <w:rStyle w:val="Fodnotehenvisning"/>
          <w:rFonts w:cs="Arial"/>
          <w:sz w:val="18"/>
          <w:szCs w:val="18"/>
        </w:rPr>
        <w:footnoteRef/>
      </w:r>
      <w:r w:rsidRPr="00171DB7">
        <w:rPr>
          <w:rFonts w:cs="Arial"/>
          <w:sz w:val="18"/>
          <w:szCs w:val="18"/>
        </w:rPr>
        <w:t xml:space="preserve"> </w:t>
      </w:r>
      <w:r w:rsidRPr="00DE61E5">
        <w:rPr>
          <w:rFonts w:asciiTheme="minorHAnsi" w:hAnsiTheme="minorHAnsi" w:cstheme="minorHAnsi"/>
        </w:rPr>
        <w:t>Den nationale affaldsplan anfører, at det i planperioden vil blive pålagt kommunerne at udbyde deres forbrændingsegnede affald. Det forudsætter lovændringer, og tidsplanen herfor er ukendt.</w:t>
      </w:r>
    </w:p>
  </w:footnote>
  <w:footnote w:id="11">
    <w:p w14:paraId="4277FB16" w14:textId="77777777" w:rsidR="000A512E" w:rsidRDefault="000A512E" w:rsidP="00171DB7">
      <w:pPr>
        <w:pStyle w:val="Fodnotetekst"/>
      </w:pPr>
      <w:r>
        <w:rPr>
          <w:rStyle w:val="Fodnotehenvisning"/>
        </w:rPr>
        <w:footnoteRef/>
      </w:r>
      <w:r>
        <w:t xml:space="preserve"> </w:t>
      </w:r>
      <w:r w:rsidRPr="00DE61E5">
        <w:rPr>
          <w:rFonts w:asciiTheme="minorHAnsi" w:hAnsiTheme="minorHAnsi" w:cstheme="minorHAnsi"/>
        </w:rPr>
        <w:t>Den nationale affaldsplan anfører, at det i planperioden vil blive pålagt kommunerne at udbyde behandlingen af deres genanvendelige affald. Det forudsætter lovændringer, og tidsplanen herfor er ukendt. Det anføres, at der vil blive indført en 5-årig overgangsordning, hvor eksisterende anlæg kan videreføres.</w:t>
      </w:r>
    </w:p>
  </w:footnote>
  <w:footnote w:id="12">
    <w:p w14:paraId="6CD323CE" w14:textId="77777777" w:rsidR="000A512E" w:rsidRDefault="000A512E" w:rsidP="00171DB7">
      <w:pPr>
        <w:pStyle w:val="Fodnotetekst"/>
      </w:pPr>
      <w:r>
        <w:rPr>
          <w:rStyle w:val="Fodnotehenvisning"/>
        </w:rPr>
        <w:footnoteRef/>
      </w:r>
      <w:r>
        <w:t xml:space="preserve"> </w:t>
      </w:r>
      <w:r w:rsidRPr="00DE61E5">
        <w:rPr>
          <w:rFonts w:asciiTheme="minorHAnsi" w:hAnsiTheme="minorHAnsi" w:cstheme="minorHAnsi"/>
        </w:rPr>
        <w:t>Se note 11</w:t>
      </w:r>
    </w:p>
  </w:footnote>
  <w:footnote w:id="13">
    <w:p w14:paraId="1CC271CC" w14:textId="77777777" w:rsidR="000A512E" w:rsidRDefault="000A512E" w:rsidP="00171DB7">
      <w:pPr>
        <w:pStyle w:val="Fodnotetekst"/>
      </w:pPr>
      <w:r>
        <w:rPr>
          <w:rStyle w:val="Fodnotehenvisning"/>
        </w:rPr>
        <w:footnoteRef/>
      </w:r>
      <w:r>
        <w:t xml:space="preserve"> </w:t>
      </w:r>
      <w:r w:rsidRPr="00DE61E5">
        <w:rPr>
          <w:rFonts w:asciiTheme="minorHAnsi" w:hAnsiTheme="minorHAnsi" w:cstheme="minorHAnsi"/>
        </w:rPr>
        <w:t>Se note 11.</w:t>
      </w:r>
    </w:p>
  </w:footnote>
  <w:footnote w:id="14">
    <w:p w14:paraId="7F8485D6" w14:textId="77777777" w:rsidR="000A512E" w:rsidRDefault="000A512E" w:rsidP="00171DB7">
      <w:pPr>
        <w:pStyle w:val="Fodnotetekst"/>
      </w:pPr>
      <w:r>
        <w:rPr>
          <w:rStyle w:val="Fodnotehenvisning"/>
        </w:rPr>
        <w:footnoteRef/>
      </w:r>
      <w:r>
        <w:t xml:space="preserve"> Den nationale affaldsplan anfører, at kommunernes anvisningsret (og pligt) for forbrændingsegnet affald fra erhverv, vil blive ophævet i planperiode. Det forudsætter lovændringer, og tidsplanen herfor er ukendt.</w:t>
      </w:r>
    </w:p>
  </w:footnote>
  <w:footnote w:id="15">
    <w:p w14:paraId="3E85A1B7" w14:textId="14AF3301" w:rsidR="000A512E" w:rsidRDefault="000A512E">
      <w:pPr>
        <w:pStyle w:val="Fodnotetekst"/>
      </w:pPr>
      <w:r>
        <w:rPr>
          <w:rStyle w:val="Fodnotehenvisning"/>
        </w:rPr>
        <w:footnoteRef/>
      </w:r>
      <w:r>
        <w:t xml:space="preserve"> Miljøstyrelsen har meddelt at krav om en evt. henteordning tidligst vil træde i kraft 1. juli 2023 </w:t>
      </w:r>
    </w:p>
  </w:footnote>
  <w:footnote w:id="16">
    <w:p w14:paraId="203794B8" w14:textId="2044603E" w:rsidR="000A512E" w:rsidRDefault="000A512E">
      <w:pPr>
        <w:pStyle w:val="Fodnotetekst"/>
      </w:pPr>
      <w:r>
        <w:rPr>
          <w:rStyle w:val="Fodnotehenvisning"/>
        </w:rPr>
        <w:footnoteRef/>
      </w:r>
      <w:r>
        <w:t xml:space="preserve"> Administration undersøger pt. om det er muligt at indføre dele af ordning for farligt affald allerede i eksisterende kontrakt og iværksætte ordningen i slutningen af 2022/start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38C1" w14:textId="77777777" w:rsidR="000A512E" w:rsidRPr="00380B51" w:rsidRDefault="000A512E" w:rsidP="005C6EE6">
    <w:pPr>
      <w:pStyle w:val="Sidehoved"/>
    </w:pPr>
    <w:r>
      <w:rPr>
        <w:noProof/>
        <w:lang w:eastAsia="da-DK"/>
      </w:rPr>
      <w:drawing>
        <wp:anchor distT="0" distB="0" distL="114300" distR="114300" simplePos="0" relativeHeight="251665408" behindDoc="1" locked="0" layoutInCell="1" allowOverlap="1" wp14:anchorId="25128296" wp14:editId="5228771A">
          <wp:simplePos x="0" y="0"/>
          <wp:positionH relativeFrom="page">
            <wp:posOffset>719455</wp:posOffset>
          </wp:positionH>
          <wp:positionV relativeFrom="page">
            <wp:posOffset>755650</wp:posOffset>
          </wp:positionV>
          <wp:extent cx="2519680" cy="755650"/>
          <wp:effectExtent l="0" t="0" r="0" b="6350"/>
          <wp:wrapNone/>
          <wp:docPr id="9" name="Billede 9"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Pr="00380B51">
      <w:rPr>
        <w:noProof/>
        <w:lang w:eastAsia="da-DK"/>
      </w:rPr>
      <mc:AlternateContent>
        <mc:Choice Requires="wps">
          <w:drawing>
            <wp:anchor distT="0" distB="0" distL="114300" distR="114300" simplePos="0" relativeHeight="251661312" behindDoc="1" locked="0" layoutInCell="1" allowOverlap="1" wp14:anchorId="756E0CA4" wp14:editId="19E7D482">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C163D"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Pr="00380B51">
      <w:rPr>
        <w:noProof/>
        <w:lang w:eastAsia="da-DK"/>
      </w:rPr>
      <mc:AlternateContent>
        <mc:Choice Requires="wps">
          <w:drawing>
            <wp:anchor distT="0" distB="0" distL="114300" distR="114300" simplePos="0" relativeHeight="251659264" behindDoc="1" locked="0" layoutInCell="1" allowOverlap="1" wp14:anchorId="6DD04C7A" wp14:editId="6B12C892">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39BA0"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" filled="f"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32F0B" w14:textId="25F13F25" w:rsidR="000A512E" w:rsidRPr="005B20C1" w:rsidRDefault="000A512E" w:rsidP="005C6EE6">
    <w:pPr>
      <w:pStyle w:val="Sidehove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144D9"/>
    <w:multiLevelType w:val="multilevel"/>
    <w:tmpl w:val="1B04AE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205913"/>
    <w:multiLevelType w:val="hybridMultilevel"/>
    <w:tmpl w:val="F1981A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4C61EC"/>
    <w:multiLevelType w:val="multilevel"/>
    <w:tmpl w:val="CB68DF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E0FEA"/>
    <w:multiLevelType w:val="multilevel"/>
    <w:tmpl w:val="6C045370"/>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4" w15:restartNumberingAfterBreak="0">
    <w:nsid w:val="19BF799D"/>
    <w:multiLevelType w:val="hybridMultilevel"/>
    <w:tmpl w:val="AD447DBC"/>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5" w15:restartNumberingAfterBreak="0">
    <w:nsid w:val="1BB94C0C"/>
    <w:multiLevelType w:val="multilevel"/>
    <w:tmpl w:val="62FA69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C3234A"/>
    <w:multiLevelType w:val="multilevel"/>
    <w:tmpl w:val="2B4A42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DB97BF1"/>
    <w:multiLevelType w:val="hybridMultilevel"/>
    <w:tmpl w:val="62E085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42E41F6"/>
    <w:multiLevelType w:val="hybridMultilevel"/>
    <w:tmpl w:val="6CE295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CBF58A2"/>
    <w:multiLevelType w:val="multilevel"/>
    <w:tmpl w:val="167CD8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3806D0B"/>
    <w:multiLevelType w:val="multilevel"/>
    <w:tmpl w:val="0408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B7961"/>
    <w:multiLevelType w:val="multilevel"/>
    <w:tmpl w:val="C44E99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BBE1505"/>
    <w:multiLevelType w:val="multilevel"/>
    <w:tmpl w:val="3A9E4C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C6B05A7"/>
    <w:multiLevelType w:val="multilevel"/>
    <w:tmpl w:val="FED85D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F822F76"/>
    <w:multiLevelType w:val="multilevel"/>
    <w:tmpl w:val="D86A18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2F735A7"/>
    <w:multiLevelType w:val="hybridMultilevel"/>
    <w:tmpl w:val="84982B98"/>
    <w:lvl w:ilvl="0" w:tplc="DDBE411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5A34E6D"/>
    <w:multiLevelType w:val="multilevel"/>
    <w:tmpl w:val="F29A9E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85633F0"/>
    <w:multiLevelType w:val="multilevel"/>
    <w:tmpl w:val="6A56C5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D902B58"/>
    <w:multiLevelType w:val="multilevel"/>
    <w:tmpl w:val="2AE88E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815962"/>
    <w:multiLevelType w:val="hybridMultilevel"/>
    <w:tmpl w:val="BE8EF0CC"/>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F9C7555"/>
    <w:multiLevelType w:val="hybridMultilevel"/>
    <w:tmpl w:val="22F2F7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3501EC7"/>
    <w:multiLevelType w:val="hybridMultilevel"/>
    <w:tmpl w:val="C4FA43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8E40D09"/>
    <w:multiLevelType w:val="multilevel"/>
    <w:tmpl w:val="83D89C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BC927B7"/>
    <w:multiLevelType w:val="hybridMultilevel"/>
    <w:tmpl w:val="9FC23B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10661256">
    <w:abstractNumId w:val="3"/>
  </w:num>
  <w:num w:numId="2" w16cid:durableId="482359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0903110">
    <w:abstractNumId w:val="22"/>
  </w:num>
  <w:num w:numId="4" w16cid:durableId="893472744">
    <w:abstractNumId w:val="5"/>
  </w:num>
  <w:num w:numId="5" w16cid:durableId="248851753">
    <w:abstractNumId w:val="11"/>
  </w:num>
  <w:num w:numId="6" w16cid:durableId="370224951">
    <w:abstractNumId w:val="17"/>
  </w:num>
  <w:num w:numId="7" w16cid:durableId="57360089">
    <w:abstractNumId w:val="13"/>
  </w:num>
  <w:num w:numId="8" w16cid:durableId="2043699239">
    <w:abstractNumId w:val="6"/>
  </w:num>
  <w:num w:numId="9" w16cid:durableId="1968850716">
    <w:abstractNumId w:val="2"/>
  </w:num>
  <w:num w:numId="10" w16cid:durableId="1803570436">
    <w:abstractNumId w:val="16"/>
  </w:num>
  <w:num w:numId="11" w16cid:durableId="1368602671">
    <w:abstractNumId w:val="12"/>
  </w:num>
  <w:num w:numId="12" w16cid:durableId="1263104855">
    <w:abstractNumId w:val="14"/>
  </w:num>
  <w:num w:numId="13" w16cid:durableId="1354647276">
    <w:abstractNumId w:val="18"/>
  </w:num>
  <w:num w:numId="14" w16cid:durableId="172384860">
    <w:abstractNumId w:val="9"/>
  </w:num>
  <w:num w:numId="15" w16cid:durableId="1477064084">
    <w:abstractNumId w:val="0"/>
  </w:num>
  <w:num w:numId="16" w16cid:durableId="1718434971">
    <w:abstractNumId w:val="8"/>
  </w:num>
  <w:num w:numId="17" w16cid:durableId="1233545457">
    <w:abstractNumId w:val="20"/>
  </w:num>
  <w:num w:numId="18" w16cid:durableId="1272668771">
    <w:abstractNumId w:val="4"/>
  </w:num>
  <w:num w:numId="19" w16cid:durableId="1191453610">
    <w:abstractNumId w:val="1"/>
  </w:num>
  <w:num w:numId="20" w16cid:durableId="615454973">
    <w:abstractNumId w:val="7"/>
  </w:num>
  <w:num w:numId="21" w16cid:durableId="1441487058">
    <w:abstractNumId w:val="21"/>
  </w:num>
  <w:num w:numId="22" w16cid:durableId="504976673">
    <w:abstractNumId w:val="19"/>
  </w:num>
  <w:num w:numId="23" w16cid:durableId="1503936453">
    <w:abstractNumId w:val="15"/>
  </w:num>
  <w:num w:numId="24" w16cid:durableId="892498586">
    <w:abstractNumId w:val="10"/>
  </w:num>
  <w:num w:numId="25" w16cid:durableId="9489266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defaultTabStop w:val="1304"/>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Rapport stående.dotm"/>
    <w:docVar w:name="DocumentCreated" w:val="DocumentCreated"/>
    <w:docVar w:name="DocumentCreatedOK" w:val="DocumentCreatedOK"/>
    <w:docVar w:name="DocumentInitialized" w:val="OK"/>
    <w:docVar w:name="Encrypted_IntegrationType" w:val="kIz36vQw+PAvltDzmtCWmw=="/>
    <w:docVar w:name="SaveInTemplateCenterEnabled" w:val="False"/>
  </w:docVars>
  <w:rsids>
    <w:rsidRoot w:val="005C6EE6"/>
    <w:rsid w:val="00023E71"/>
    <w:rsid w:val="00026269"/>
    <w:rsid w:val="00047CD8"/>
    <w:rsid w:val="00053717"/>
    <w:rsid w:val="000615EA"/>
    <w:rsid w:val="00074A75"/>
    <w:rsid w:val="00083B83"/>
    <w:rsid w:val="00091062"/>
    <w:rsid w:val="000A48EA"/>
    <w:rsid w:val="000A512E"/>
    <w:rsid w:val="000B7BF9"/>
    <w:rsid w:val="000F68F0"/>
    <w:rsid w:val="00120EE5"/>
    <w:rsid w:val="001416BC"/>
    <w:rsid w:val="0014345E"/>
    <w:rsid w:val="00146175"/>
    <w:rsid w:val="00155C44"/>
    <w:rsid w:val="00163F22"/>
    <w:rsid w:val="0016755E"/>
    <w:rsid w:val="00171DB7"/>
    <w:rsid w:val="00175928"/>
    <w:rsid w:val="001867B1"/>
    <w:rsid w:val="00195076"/>
    <w:rsid w:val="001C52A0"/>
    <w:rsid w:val="001E6A1B"/>
    <w:rsid w:val="001E7E51"/>
    <w:rsid w:val="00203C7B"/>
    <w:rsid w:val="00212957"/>
    <w:rsid w:val="00236EE4"/>
    <w:rsid w:val="00236F3A"/>
    <w:rsid w:val="0024352D"/>
    <w:rsid w:val="00253F08"/>
    <w:rsid w:val="00263DD3"/>
    <w:rsid w:val="00270363"/>
    <w:rsid w:val="00281FCF"/>
    <w:rsid w:val="002866FE"/>
    <w:rsid w:val="0029088E"/>
    <w:rsid w:val="002A0975"/>
    <w:rsid w:val="002B029E"/>
    <w:rsid w:val="002C4D05"/>
    <w:rsid w:val="002C6F96"/>
    <w:rsid w:val="002E1AE4"/>
    <w:rsid w:val="00300EB6"/>
    <w:rsid w:val="003136FC"/>
    <w:rsid w:val="00316BF6"/>
    <w:rsid w:val="00322ED0"/>
    <w:rsid w:val="00352DB3"/>
    <w:rsid w:val="00366A16"/>
    <w:rsid w:val="003777F2"/>
    <w:rsid w:val="00380B51"/>
    <w:rsid w:val="00383DEB"/>
    <w:rsid w:val="003841C4"/>
    <w:rsid w:val="00386FF0"/>
    <w:rsid w:val="00393B84"/>
    <w:rsid w:val="00397DFA"/>
    <w:rsid w:val="003A18B6"/>
    <w:rsid w:val="003B0CB7"/>
    <w:rsid w:val="003B11A2"/>
    <w:rsid w:val="003B741D"/>
    <w:rsid w:val="003D51CC"/>
    <w:rsid w:val="003D5570"/>
    <w:rsid w:val="003F2860"/>
    <w:rsid w:val="003F6914"/>
    <w:rsid w:val="004270CE"/>
    <w:rsid w:val="00445147"/>
    <w:rsid w:val="00451C4D"/>
    <w:rsid w:val="004559F0"/>
    <w:rsid w:val="00472891"/>
    <w:rsid w:val="00487082"/>
    <w:rsid w:val="00490720"/>
    <w:rsid w:val="004922DA"/>
    <w:rsid w:val="004B5339"/>
    <w:rsid w:val="004B5466"/>
    <w:rsid w:val="004C5B92"/>
    <w:rsid w:val="004E33C0"/>
    <w:rsid w:val="005163BC"/>
    <w:rsid w:val="00561C58"/>
    <w:rsid w:val="0056364B"/>
    <w:rsid w:val="00564C6E"/>
    <w:rsid w:val="005712E5"/>
    <w:rsid w:val="005768FB"/>
    <w:rsid w:val="005821AF"/>
    <w:rsid w:val="005A1400"/>
    <w:rsid w:val="005A15B5"/>
    <w:rsid w:val="005B20C1"/>
    <w:rsid w:val="005B4D03"/>
    <w:rsid w:val="005C101E"/>
    <w:rsid w:val="005C6EE6"/>
    <w:rsid w:val="005E3B02"/>
    <w:rsid w:val="006329E4"/>
    <w:rsid w:val="006331B5"/>
    <w:rsid w:val="006333C9"/>
    <w:rsid w:val="00650334"/>
    <w:rsid w:val="0065419D"/>
    <w:rsid w:val="00654B76"/>
    <w:rsid w:val="00655A7D"/>
    <w:rsid w:val="00666BA2"/>
    <w:rsid w:val="00670F10"/>
    <w:rsid w:val="00674646"/>
    <w:rsid w:val="00676636"/>
    <w:rsid w:val="0068390D"/>
    <w:rsid w:val="00687E46"/>
    <w:rsid w:val="006C122F"/>
    <w:rsid w:val="006C7489"/>
    <w:rsid w:val="006C7D9B"/>
    <w:rsid w:val="00700714"/>
    <w:rsid w:val="007057E9"/>
    <w:rsid w:val="00734304"/>
    <w:rsid w:val="00741A24"/>
    <w:rsid w:val="00742076"/>
    <w:rsid w:val="00760FBB"/>
    <w:rsid w:val="007740C2"/>
    <w:rsid w:val="00796A68"/>
    <w:rsid w:val="007977E8"/>
    <w:rsid w:val="007A4B81"/>
    <w:rsid w:val="007A7AC0"/>
    <w:rsid w:val="007C0A12"/>
    <w:rsid w:val="007C1964"/>
    <w:rsid w:val="007D6441"/>
    <w:rsid w:val="007E7974"/>
    <w:rsid w:val="007F320C"/>
    <w:rsid w:val="007F3DF9"/>
    <w:rsid w:val="00801366"/>
    <w:rsid w:val="00817836"/>
    <w:rsid w:val="00836D39"/>
    <w:rsid w:val="00841134"/>
    <w:rsid w:val="00853CEC"/>
    <w:rsid w:val="00855E65"/>
    <w:rsid w:val="008655AA"/>
    <w:rsid w:val="00881DFF"/>
    <w:rsid w:val="00886E27"/>
    <w:rsid w:val="008A5674"/>
    <w:rsid w:val="008B0965"/>
    <w:rsid w:val="008B7F73"/>
    <w:rsid w:val="008C23F5"/>
    <w:rsid w:val="008C42B4"/>
    <w:rsid w:val="008E6F21"/>
    <w:rsid w:val="00900519"/>
    <w:rsid w:val="00902898"/>
    <w:rsid w:val="009040B5"/>
    <w:rsid w:val="00905091"/>
    <w:rsid w:val="00913B08"/>
    <w:rsid w:val="00976130"/>
    <w:rsid w:val="00981775"/>
    <w:rsid w:val="00986B8B"/>
    <w:rsid w:val="009A4353"/>
    <w:rsid w:val="009B700A"/>
    <w:rsid w:val="009C3080"/>
    <w:rsid w:val="009C4AF3"/>
    <w:rsid w:val="009C6077"/>
    <w:rsid w:val="009C6909"/>
    <w:rsid w:val="009D5E07"/>
    <w:rsid w:val="009E3D43"/>
    <w:rsid w:val="00A003D3"/>
    <w:rsid w:val="00A03672"/>
    <w:rsid w:val="00A13B95"/>
    <w:rsid w:val="00A14BFB"/>
    <w:rsid w:val="00A15EFF"/>
    <w:rsid w:val="00A84CE0"/>
    <w:rsid w:val="00A943A1"/>
    <w:rsid w:val="00A952EA"/>
    <w:rsid w:val="00A96D88"/>
    <w:rsid w:val="00AA1375"/>
    <w:rsid w:val="00AA2860"/>
    <w:rsid w:val="00AC30B5"/>
    <w:rsid w:val="00AD1049"/>
    <w:rsid w:val="00AE1681"/>
    <w:rsid w:val="00AE1929"/>
    <w:rsid w:val="00B024E4"/>
    <w:rsid w:val="00B05E75"/>
    <w:rsid w:val="00B0651A"/>
    <w:rsid w:val="00B14008"/>
    <w:rsid w:val="00B3133D"/>
    <w:rsid w:val="00BA6C4E"/>
    <w:rsid w:val="00BB2E0F"/>
    <w:rsid w:val="00BB78A2"/>
    <w:rsid w:val="00BE0FE6"/>
    <w:rsid w:val="00BF4CD9"/>
    <w:rsid w:val="00C01D48"/>
    <w:rsid w:val="00C02DD0"/>
    <w:rsid w:val="00C1019C"/>
    <w:rsid w:val="00C42F6C"/>
    <w:rsid w:val="00C56A8A"/>
    <w:rsid w:val="00C61D4B"/>
    <w:rsid w:val="00C65181"/>
    <w:rsid w:val="00C663E6"/>
    <w:rsid w:val="00C7100A"/>
    <w:rsid w:val="00C72B9F"/>
    <w:rsid w:val="00C82A64"/>
    <w:rsid w:val="00C95C53"/>
    <w:rsid w:val="00CA627F"/>
    <w:rsid w:val="00CA68FC"/>
    <w:rsid w:val="00CB5690"/>
    <w:rsid w:val="00CE582F"/>
    <w:rsid w:val="00CF1A29"/>
    <w:rsid w:val="00D114D2"/>
    <w:rsid w:val="00D22956"/>
    <w:rsid w:val="00D25309"/>
    <w:rsid w:val="00D440A0"/>
    <w:rsid w:val="00D46971"/>
    <w:rsid w:val="00D739A5"/>
    <w:rsid w:val="00D93E8C"/>
    <w:rsid w:val="00DB71AE"/>
    <w:rsid w:val="00DD395E"/>
    <w:rsid w:val="00DD5196"/>
    <w:rsid w:val="00DD6FF4"/>
    <w:rsid w:val="00DE61E5"/>
    <w:rsid w:val="00DE648D"/>
    <w:rsid w:val="00E04994"/>
    <w:rsid w:val="00E14E3E"/>
    <w:rsid w:val="00E15238"/>
    <w:rsid w:val="00E20367"/>
    <w:rsid w:val="00E20E27"/>
    <w:rsid w:val="00E22F78"/>
    <w:rsid w:val="00E25F00"/>
    <w:rsid w:val="00E31438"/>
    <w:rsid w:val="00E51191"/>
    <w:rsid w:val="00E52FB5"/>
    <w:rsid w:val="00E6010E"/>
    <w:rsid w:val="00E6519B"/>
    <w:rsid w:val="00E76B92"/>
    <w:rsid w:val="00E96189"/>
    <w:rsid w:val="00E97B31"/>
    <w:rsid w:val="00EA29FC"/>
    <w:rsid w:val="00EA474C"/>
    <w:rsid w:val="00EC6B0B"/>
    <w:rsid w:val="00ED1E42"/>
    <w:rsid w:val="00EE0D73"/>
    <w:rsid w:val="00EF083C"/>
    <w:rsid w:val="00F00BE0"/>
    <w:rsid w:val="00F06D3F"/>
    <w:rsid w:val="00F1443E"/>
    <w:rsid w:val="00F160BC"/>
    <w:rsid w:val="00F2100E"/>
    <w:rsid w:val="00F21E2F"/>
    <w:rsid w:val="00F33676"/>
    <w:rsid w:val="00F47E0E"/>
    <w:rsid w:val="00F53CC8"/>
    <w:rsid w:val="00F706DD"/>
    <w:rsid w:val="00F743B2"/>
    <w:rsid w:val="00F876C1"/>
    <w:rsid w:val="00F9135E"/>
    <w:rsid w:val="00F97EC7"/>
    <w:rsid w:val="00FA1BE3"/>
    <w:rsid w:val="00FA24FC"/>
    <w:rsid w:val="00FB3D9F"/>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4F807C2"/>
  <w15:docId w15:val="{BE80E00A-AF70-4CB8-90D9-1224BFFA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EE6"/>
    <w:pPr>
      <w:suppressAutoHyphens/>
      <w:autoSpaceDN w:val="0"/>
      <w:spacing w:after="160" w:line="240" w:lineRule="auto"/>
      <w:textAlignment w:val="baseline"/>
    </w:pPr>
    <w:rPr>
      <w:rFonts w:ascii="Arial" w:eastAsia="Calibri" w:hAnsi="Arial" w:cs="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7A7AC0"/>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unhideWhenUsed/>
    <w:qFormat/>
    <w:rsid w:val="00F876C1"/>
    <w:pPr>
      <w:keepNext/>
      <w:keepLines/>
      <w:numPr>
        <w:ilvl w:val="2"/>
        <w:numId w:val="1"/>
      </w:numPr>
      <w:spacing w:before="200"/>
      <w:outlineLvl w:val="2"/>
    </w:pPr>
    <w:rPr>
      <w:rFonts w:eastAsiaTheme="majorEastAsia"/>
      <w:b/>
      <w:bCs/>
    </w:rPr>
  </w:style>
  <w:style w:type="paragraph" w:styleId="Overskrift4">
    <w:name w:val="heading 4"/>
    <w:aliases w:val="Bilagsoverskrift"/>
    <w:basedOn w:val="Normal"/>
    <w:next w:val="Normal"/>
    <w:link w:val="Overskrift4Tegn"/>
    <w:uiPriority w:val="9"/>
    <w:unhideWhenUsed/>
    <w:qFormat/>
    <w:rsid w:val="00EA29FC"/>
    <w:pPr>
      <w:keepNext/>
      <w:keepLines/>
      <w:spacing w:before="200"/>
      <w:outlineLvl w:val="3"/>
    </w:pPr>
    <w:rPr>
      <w:rFonts w:ascii="Verdana" w:eastAsiaTheme="majorEastAsia" w:hAnsi="Verdana" w:cstheme="majorBidi"/>
      <w:b/>
      <w:bCs/>
      <w:sz w:val="28"/>
      <w:szCs w:val="28"/>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nhideWhenUsed/>
    <w:rsid w:val="00091062"/>
    <w:pPr>
      <w:tabs>
        <w:tab w:val="center" w:pos="4819"/>
        <w:tab w:val="right" w:pos="9638"/>
      </w:tabs>
    </w:pPr>
  </w:style>
  <w:style w:type="character" w:customStyle="1" w:styleId="SidehovedTegn">
    <w:name w:val="Sidehoved Tegn"/>
    <w:basedOn w:val="Standardskrifttypeiafsnit"/>
    <w:link w:val="Sidehoved"/>
    <w:rsid w:val="00091062"/>
  </w:style>
  <w:style w:type="paragraph" w:styleId="Sidefod">
    <w:name w:val="footer"/>
    <w:basedOn w:val="Normal"/>
    <w:link w:val="SidefodTegn"/>
    <w:unhideWhenUsed/>
    <w:rsid w:val="00091062"/>
    <w:pPr>
      <w:tabs>
        <w:tab w:val="center" w:pos="4819"/>
        <w:tab w:val="right" w:pos="9638"/>
      </w:tabs>
    </w:pPr>
  </w:style>
  <w:style w:type="character" w:customStyle="1" w:styleId="SidefodTegn">
    <w:name w:val="Sidefod Tegn"/>
    <w:basedOn w:val="Standardskrifttypeiafsnit"/>
    <w:link w:val="Sidefod"/>
    <w:rsid w:val="00091062"/>
  </w:style>
  <w:style w:type="character" w:customStyle="1" w:styleId="Overskrift1Tegn">
    <w:name w:val="Overskrift 1 Tegn"/>
    <w:basedOn w:val="Standardskrifttypeiafsnit"/>
    <w:link w:val="Overskrift1"/>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7A7AC0"/>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rsid w:val="00F876C1"/>
    <w:rPr>
      <w:rFonts w:ascii="Arial" w:eastAsiaTheme="majorEastAsia" w:hAnsi="Arial" w:cs="Arial"/>
      <w:b/>
      <w:bCs/>
    </w:rPr>
  </w:style>
  <w:style w:type="character" w:customStyle="1" w:styleId="Overskrift4Tegn">
    <w:name w:val="Overskrift 4 Tegn"/>
    <w:aliases w:val="Bilagsoverskrift Tegn"/>
    <w:basedOn w:val="Standardskrifttypeiafsnit"/>
    <w:link w:val="Overskrift4"/>
    <w:uiPriority w:val="9"/>
    <w:rsid w:val="00EA29FC"/>
    <w:rPr>
      <w:rFonts w:ascii="Verdana" w:eastAsiaTheme="majorEastAsia" w:hAnsi="Verdana" w:cstheme="majorBidi"/>
      <w:b/>
      <w:bCs/>
      <w:sz w:val="28"/>
      <w:szCs w:val="28"/>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7A7AC0"/>
    <w:pPr>
      <w:tabs>
        <w:tab w:val="left" w:pos="660"/>
        <w:tab w:val="right" w:leader="dot" w:pos="9684"/>
      </w:tabs>
      <w:ind w:left="709" w:hanging="709"/>
    </w:pPr>
  </w:style>
  <w:style w:type="character" w:styleId="Hyperlink">
    <w:name w:val="Hyperlink"/>
    <w:uiPriority w:val="99"/>
    <w:unhideWhenUsed/>
    <w:rsid w:val="00083B83"/>
    <w:rPr>
      <w:rFonts w:eastAsia="Times New Roman" w:cs="Times New Roman"/>
      <w:szCs w:val="20"/>
      <w:u w:val="single"/>
      <w:lang w:eastAsia="da-DK"/>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rPr>
      <w:rFonts w:ascii="Verdana" w:hAnsi="Verdana"/>
      <w:color w:val="FFFFFF" w:themeColor="background1"/>
      <w:sz w:val="32"/>
      <w:szCs w:val="32"/>
    </w:rPr>
  </w:style>
  <w:style w:type="paragraph" w:customStyle="1" w:styleId="ForsideOverskrift">
    <w:name w:val="ForsideOverskrift"/>
    <w:basedOn w:val="Normal"/>
    <w:rsid w:val="00C95C53"/>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b/>
      <w:color w:val="666666"/>
    </w:rPr>
  </w:style>
  <w:style w:type="paragraph" w:customStyle="1" w:styleId="Side2Adresse">
    <w:name w:val="Side2Adresse"/>
    <w:basedOn w:val="Normal"/>
    <w:rsid w:val="00AA2860"/>
    <w:rPr>
      <w:color w:val="666666"/>
    </w:rPr>
  </w:style>
  <w:style w:type="paragraph" w:customStyle="1" w:styleId="BagsideFirmanavn">
    <w:name w:val="BagsideFirmanavn"/>
    <w:basedOn w:val="Normal"/>
    <w:rsid w:val="00AA1375"/>
    <w:rPr>
      <w:b/>
      <w:color w:val="FFFFFF" w:themeColor="background1"/>
      <w:sz w:val="19"/>
      <w:szCs w:val="17"/>
    </w:rPr>
  </w:style>
  <w:style w:type="paragraph" w:customStyle="1" w:styleId="BagsideAdresse">
    <w:name w:val="BagsideAdresse"/>
    <w:basedOn w:val="Normal"/>
    <w:rsid w:val="00AA1375"/>
    <w:rPr>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customStyle="1" w:styleId="Normaloverskrift">
    <w:name w:val="Normal overskrift"/>
    <w:basedOn w:val="Normal"/>
    <w:link w:val="NormaloverskriftTegn"/>
    <w:qFormat/>
    <w:rsid w:val="005821AF"/>
    <w:rPr>
      <w:rFonts w:eastAsia="Times New Roman" w:cs="Times New Roman"/>
      <w:b/>
      <w:szCs w:val="20"/>
      <w:lang w:eastAsia="da-DK"/>
    </w:rPr>
  </w:style>
  <w:style w:type="character" w:customStyle="1" w:styleId="NormaloverskriftTegn">
    <w:name w:val="Normal overskrift Tegn"/>
    <w:basedOn w:val="Standardskrifttypeiafsnit"/>
    <w:link w:val="Normaloverskrift"/>
    <w:rsid w:val="005821AF"/>
    <w:rPr>
      <w:rFonts w:ascii="Arial" w:eastAsia="Times New Roman" w:hAnsi="Arial" w:cs="Times New Roman"/>
      <w:b/>
      <w:szCs w:val="20"/>
      <w:lang w:eastAsia="da-DK"/>
    </w:rPr>
  </w:style>
  <w:style w:type="numbering" w:customStyle="1" w:styleId="Ingenoversigt1">
    <w:name w:val="Ingen oversigt1"/>
    <w:next w:val="Ingenoversigt"/>
    <w:uiPriority w:val="99"/>
    <w:semiHidden/>
    <w:unhideWhenUsed/>
    <w:rsid w:val="005C6EE6"/>
  </w:style>
  <w:style w:type="paragraph" w:styleId="Overskrift">
    <w:name w:val="TOC Heading"/>
    <w:basedOn w:val="Overskrift1"/>
    <w:next w:val="Normal"/>
    <w:uiPriority w:val="39"/>
    <w:qFormat/>
    <w:rsid w:val="005C6EE6"/>
    <w:pPr>
      <w:numPr>
        <w:numId w:val="0"/>
      </w:numPr>
      <w:spacing w:before="240" w:after="0"/>
    </w:pPr>
    <w:rPr>
      <w:rFonts w:ascii="Calibri Light" w:eastAsia="Times New Roman" w:hAnsi="Calibri Light" w:cs="Times New Roman"/>
      <w:b w:val="0"/>
      <w:bCs w:val="0"/>
      <w:caps w:val="0"/>
      <w:color w:val="2E74B5"/>
      <w:sz w:val="32"/>
      <w:szCs w:val="32"/>
      <w:lang w:eastAsia="da-DK"/>
    </w:rPr>
  </w:style>
  <w:style w:type="paragraph" w:styleId="Indholdsfortegnelse3">
    <w:name w:val="toc 3"/>
    <w:basedOn w:val="Normal"/>
    <w:next w:val="Normal"/>
    <w:autoRedefine/>
    <w:uiPriority w:val="39"/>
    <w:rsid w:val="005C6EE6"/>
    <w:pPr>
      <w:tabs>
        <w:tab w:val="right" w:leader="dot" w:pos="9628"/>
      </w:tabs>
      <w:spacing w:after="100"/>
      <w:ind w:left="440"/>
    </w:pPr>
    <w:rPr>
      <w:rFonts w:ascii="Calibri" w:hAnsi="Calibri" w:cs="Times New Roman"/>
    </w:rPr>
  </w:style>
  <w:style w:type="paragraph" w:styleId="Listeafsnit">
    <w:name w:val="List Paragraph"/>
    <w:basedOn w:val="Normal"/>
    <w:rsid w:val="005C6EE6"/>
    <w:pPr>
      <w:ind w:left="720"/>
    </w:pPr>
    <w:rPr>
      <w:rFonts w:ascii="Calibri" w:hAnsi="Calibri" w:cs="Times New Roman"/>
    </w:rPr>
  </w:style>
  <w:style w:type="paragraph" w:styleId="Fodnotetekst">
    <w:name w:val="footnote text"/>
    <w:basedOn w:val="Normal"/>
    <w:link w:val="FodnotetekstTegn"/>
    <w:rsid w:val="0068390D"/>
    <w:rPr>
      <w:rFonts w:cs="Times New Roman"/>
      <w:sz w:val="20"/>
      <w:szCs w:val="20"/>
    </w:rPr>
  </w:style>
  <w:style w:type="character" w:customStyle="1" w:styleId="FodnotetekstTegn">
    <w:name w:val="Fodnotetekst Tegn"/>
    <w:basedOn w:val="Standardskrifttypeiafsnit"/>
    <w:link w:val="Fodnotetekst"/>
    <w:rsid w:val="0068390D"/>
    <w:rPr>
      <w:rFonts w:ascii="Arial" w:eastAsia="Calibri" w:hAnsi="Arial" w:cs="Times New Roman"/>
      <w:sz w:val="20"/>
      <w:szCs w:val="20"/>
    </w:rPr>
  </w:style>
  <w:style w:type="character" w:styleId="Fodnotehenvisning">
    <w:name w:val="footnote reference"/>
    <w:basedOn w:val="Standardskrifttypeiafsnit"/>
    <w:rsid w:val="005C6EE6"/>
    <w:rPr>
      <w:position w:val="0"/>
      <w:vertAlign w:val="superscript"/>
    </w:rPr>
  </w:style>
  <w:style w:type="paragraph" w:styleId="Korrektur">
    <w:name w:val="Revision"/>
    <w:hidden/>
    <w:uiPriority w:val="99"/>
    <w:semiHidden/>
    <w:rsid w:val="005C6EE6"/>
    <w:pPr>
      <w:spacing w:after="0" w:line="240" w:lineRule="auto"/>
    </w:pPr>
    <w:rPr>
      <w:rFonts w:ascii="Calibri" w:eastAsia="Calibri" w:hAnsi="Calibri" w:cs="Times New Roman"/>
    </w:rPr>
  </w:style>
  <w:style w:type="table" w:customStyle="1" w:styleId="Tabel-Gitter1">
    <w:name w:val="Tabel - Gitter1"/>
    <w:basedOn w:val="Tabel-Normal"/>
    <w:next w:val="Tabel-Gitter"/>
    <w:uiPriority w:val="39"/>
    <w:rsid w:val="005C6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D46971"/>
    <w:rPr>
      <w:color w:val="605E5C"/>
      <w:shd w:val="clear" w:color="auto" w:fill="E1DFDD"/>
    </w:rPr>
  </w:style>
  <w:style w:type="character" w:styleId="BesgtLink">
    <w:name w:val="FollowedHyperlink"/>
    <w:basedOn w:val="Standardskrifttypeiafsnit"/>
    <w:uiPriority w:val="99"/>
    <w:semiHidden/>
    <w:unhideWhenUsed/>
    <w:rsid w:val="00C61D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30673">
      <w:bodyDiv w:val="1"/>
      <w:marLeft w:val="0"/>
      <w:marRight w:val="0"/>
      <w:marTop w:val="0"/>
      <w:marBottom w:val="0"/>
      <w:divBdr>
        <w:top w:val="none" w:sz="0" w:space="0" w:color="auto"/>
        <w:left w:val="none" w:sz="0" w:space="0" w:color="auto"/>
        <w:bottom w:val="none" w:sz="0" w:space="0" w:color="auto"/>
        <w:right w:val="none" w:sz="0" w:space="0" w:color="auto"/>
      </w:divBdr>
    </w:div>
    <w:div w:id="211238596">
      <w:bodyDiv w:val="1"/>
      <w:marLeft w:val="0"/>
      <w:marRight w:val="0"/>
      <w:marTop w:val="0"/>
      <w:marBottom w:val="0"/>
      <w:divBdr>
        <w:top w:val="none" w:sz="0" w:space="0" w:color="auto"/>
        <w:left w:val="none" w:sz="0" w:space="0" w:color="auto"/>
        <w:bottom w:val="none" w:sz="0" w:space="0" w:color="auto"/>
        <w:right w:val="none" w:sz="0" w:space="0" w:color="auto"/>
      </w:divBdr>
    </w:div>
    <w:div w:id="435028317">
      <w:bodyDiv w:val="1"/>
      <w:marLeft w:val="0"/>
      <w:marRight w:val="0"/>
      <w:marTop w:val="0"/>
      <w:marBottom w:val="0"/>
      <w:divBdr>
        <w:top w:val="none" w:sz="0" w:space="0" w:color="auto"/>
        <w:left w:val="none" w:sz="0" w:space="0" w:color="auto"/>
        <w:bottom w:val="none" w:sz="0" w:space="0" w:color="auto"/>
        <w:right w:val="none" w:sz="0" w:space="0" w:color="auto"/>
      </w:divBdr>
    </w:div>
    <w:div w:id="466242102">
      <w:bodyDiv w:val="1"/>
      <w:marLeft w:val="0"/>
      <w:marRight w:val="0"/>
      <w:marTop w:val="0"/>
      <w:marBottom w:val="0"/>
      <w:divBdr>
        <w:top w:val="none" w:sz="0" w:space="0" w:color="auto"/>
        <w:left w:val="none" w:sz="0" w:space="0" w:color="auto"/>
        <w:bottom w:val="none" w:sz="0" w:space="0" w:color="auto"/>
        <w:right w:val="none" w:sz="0" w:space="0" w:color="auto"/>
      </w:divBdr>
    </w:div>
    <w:div w:id="469371859">
      <w:bodyDiv w:val="1"/>
      <w:marLeft w:val="0"/>
      <w:marRight w:val="0"/>
      <w:marTop w:val="0"/>
      <w:marBottom w:val="0"/>
      <w:divBdr>
        <w:top w:val="none" w:sz="0" w:space="0" w:color="auto"/>
        <w:left w:val="none" w:sz="0" w:space="0" w:color="auto"/>
        <w:bottom w:val="none" w:sz="0" w:space="0" w:color="auto"/>
        <w:right w:val="none" w:sz="0" w:space="0" w:color="auto"/>
      </w:divBdr>
    </w:div>
    <w:div w:id="484592350">
      <w:bodyDiv w:val="1"/>
      <w:marLeft w:val="0"/>
      <w:marRight w:val="0"/>
      <w:marTop w:val="0"/>
      <w:marBottom w:val="0"/>
      <w:divBdr>
        <w:top w:val="none" w:sz="0" w:space="0" w:color="auto"/>
        <w:left w:val="none" w:sz="0" w:space="0" w:color="auto"/>
        <w:bottom w:val="none" w:sz="0" w:space="0" w:color="auto"/>
        <w:right w:val="none" w:sz="0" w:space="0" w:color="auto"/>
      </w:divBdr>
    </w:div>
    <w:div w:id="754283151">
      <w:bodyDiv w:val="1"/>
      <w:marLeft w:val="0"/>
      <w:marRight w:val="0"/>
      <w:marTop w:val="0"/>
      <w:marBottom w:val="0"/>
      <w:divBdr>
        <w:top w:val="none" w:sz="0" w:space="0" w:color="auto"/>
        <w:left w:val="none" w:sz="0" w:space="0" w:color="auto"/>
        <w:bottom w:val="none" w:sz="0" w:space="0" w:color="auto"/>
        <w:right w:val="none" w:sz="0" w:space="0" w:color="auto"/>
      </w:divBdr>
    </w:div>
    <w:div w:id="1030686002">
      <w:bodyDiv w:val="1"/>
      <w:marLeft w:val="0"/>
      <w:marRight w:val="0"/>
      <w:marTop w:val="0"/>
      <w:marBottom w:val="0"/>
      <w:divBdr>
        <w:top w:val="none" w:sz="0" w:space="0" w:color="auto"/>
        <w:left w:val="none" w:sz="0" w:space="0" w:color="auto"/>
        <w:bottom w:val="none" w:sz="0" w:space="0" w:color="auto"/>
        <w:right w:val="none" w:sz="0" w:space="0" w:color="auto"/>
      </w:divBdr>
    </w:div>
    <w:div w:id="1365978600">
      <w:bodyDiv w:val="1"/>
      <w:marLeft w:val="0"/>
      <w:marRight w:val="0"/>
      <w:marTop w:val="0"/>
      <w:marBottom w:val="0"/>
      <w:divBdr>
        <w:top w:val="none" w:sz="0" w:space="0" w:color="auto"/>
        <w:left w:val="none" w:sz="0" w:space="0" w:color="auto"/>
        <w:bottom w:val="none" w:sz="0" w:space="0" w:color="auto"/>
        <w:right w:val="none" w:sz="0" w:space="0" w:color="auto"/>
      </w:divBdr>
    </w:div>
    <w:div w:id="1605916734">
      <w:bodyDiv w:val="1"/>
      <w:marLeft w:val="0"/>
      <w:marRight w:val="0"/>
      <w:marTop w:val="0"/>
      <w:marBottom w:val="0"/>
      <w:divBdr>
        <w:top w:val="none" w:sz="0" w:space="0" w:color="auto"/>
        <w:left w:val="none" w:sz="0" w:space="0" w:color="auto"/>
        <w:bottom w:val="none" w:sz="0" w:space="0" w:color="auto"/>
        <w:right w:val="none" w:sz="0" w:space="0" w:color="auto"/>
      </w:divBdr>
    </w:div>
    <w:div w:id="189025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2.xml"/><Relationship Id="rId39" Type="http://schemas.openxmlformats.org/officeDocument/2006/relationships/chart" Target="charts/chart17.xml"/><Relationship Id="rId21" Type="http://schemas.openxmlformats.org/officeDocument/2006/relationships/chart" Target="charts/chart9.xml"/><Relationship Id="rId34" Type="http://schemas.openxmlformats.org/officeDocument/2006/relationships/chart" Target="charts/chart13.xml"/><Relationship Id="rId42" Type="http://schemas.openxmlformats.org/officeDocument/2006/relationships/chart" Target="charts/chart19.xml"/><Relationship Id="rId47" Type="http://schemas.openxmlformats.org/officeDocument/2006/relationships/chart" Target="charts/chart20.xml"/><Relationship Id="rId50" Type="http://schemas.openxmlformats.org/officeDocument/2006/relationships/image" Target="media/image21.emf"/><Relationship Id="rId55" Type="http://schemas.openxmlformats.org/officeDocument/2006/relationships/image" Target="media/image24.e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8.xml"/><Relationship Id="rId29" Type="http://schemas.openxmlformats.org/officeDocument/2006/relationships/image" Target="media/image9.emf"/><Relationship Id="rId41" Type="http://schemas.openxmlformats.org/officeDocument/2006/relationships/chart" Target="charts/chart18.xml"/><Relationship Id="rId54" Type="http://schemas.openxmlformats.org/officeDocument/2006/relationships/chart" Target="charts/chart22.xml"/><Relationship Id="rId62" Type="http://schemas.openxmlformats.org/officeDocument/2006/relationships/chart" Target="charts/chart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11.xml"/><Relationship Id="rId32" Type="http://schemas.openxmlformats.org/officeDocument/2006/relationships/chart" Target="charts/chart12.xml"/><Relationship Id="rId37" Type="http://schemas.openxmlformats.org/officeDocument/2006/relationships/chart" Target="charts/chart15.xml"/><Relationship Id="rId40" Type="http://schemas.openxmlformats.org/officeDocument/2006/relationships/image" Target="media/image14.emf"/><Relationship Id="rId45" Type="http://schemas.openxmlformats.org/officeDocument/2006/relationships/image" Target="media/image17.emf"/><Relationship Id="rId53" Type="http://schemas.openxmlformats.org/officeDocument/2006/relationships/image" Target="media/image23.emf"/><Relationship Id="rId58" Type="http://schemas.openxmlformats.org/officeDocument/2006/relationships/image" Target="media/image25.emf"/><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image" Target="media/image8.png"/><Relationship Id="rId36" Type="http://schemas.openxmlformats.org/officeDocument/2006/relationships/chart" Target="charts/chart14.xml"/><Relationship Id="rId49" Type="http://schemas.openxmlformats.org/officeDocument/2006/relationships/image" Target="media/image20.emf"/><Relationship Id="rId57" Type="http://schemas.openxmlformats.org/officeDocument/2006/relationships/chart" Target="charts/chart24.xml"/><Relationship Id="rId61" Type="http://schemas.openxmlformats.org/officeDocument/2006/relationships/image" Target="media/image28.emf"/><Relationship Id="rId10" Type="http://schemas.openxmlformats.org/officeDocument/2006/relationships/footer" Target="footer1.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image" Target="media/image16.emf"/><Relationship Id="rId52" Type="http://schemas.openxmlformats.org/officeDocument/2006/relationships/chart" Target="charts/chart21.xml"/><Relationship Id="rId60" Type="http://schemas.openxmlformats.org/officeDocument/2006/relationships/image" Target="media/image2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image" Target="media/image15.emf"/><Relationship Id="rId48" Type="http://schemas.openxmlformats.org/officeDocument/2006/relationships/image" Target="media/image19.emf"/><Relationship Id="rId56" Type="http://schemas.openxmlformats.org/officeDocument/2006/relationships/chart" Target="charts/chart23.xm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2.emf"/><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image" Target="media/image7.png"/><Relationship Id="rId33" Type="http://schemas.openxmlformats.org/officeDocument/2006/relationships/image" Target="media/image12.emf"/><Relationship Id="rId38" Type="http://schemas.openxmlformats.org/officeDocument/2006/relationships/chart" Target="charts/chart16.xml"/><Relationship Id="rId46" Type="http://schemas.openxmlformats.org/officeDocument/2006/relationships/image" Target="media/image18.emf"/><Relationship Id="rId59" Type="http://schemas.openxmlformats.org/officeDocument/2006/relationships/image" Target="media/image26.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fp\F&#230;llesdrev\Kommuneservice%20og%20kommunikation\Affaldsplaner\Affaldsplan%202020-2025\Affaldsdata\De%20enkelte%20kommuner\Vordingborg\Final\Final-final\210728,%20klimkorr,%20%20Vordingborg,%20affaldskortl,%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p\F&#230;llesdrev\Kommuneservice%20og%20kommunikation\Affaldsplaner\Affaldsplan%202020-2025\Affaldsdata\De%20enkelte%20kommuner\Vordingborg\Final\Final-final\210728,%20klimkorr,%20%20Vordingborg,%20affaldskortl,%20final.xlsx" TargetMode="External"/></Relationships>
</file>

<file path=word/charts/_rels/chart12.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13.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14.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15.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16.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18.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19.xml"/></Relationships>
</file>

<file path=word/charts/_rels/chart22.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20.xml"/></Relationships>
</file>

<file path=word/charts/_rels/chart23.xml.rels><?xml version="1.0" encoding="UTF-8" standalone="yes"?>
<Relationships xmlns="http://schemas.openxmlformats.org/package/2006/relationships"><Relationship Id="rId1" Type="http://schemas.openxmlformats.org/officeDocument/2006/relationships/oleObject" Target="file:///\\fp\F&#230;llesdrev\Kommuneservice%20og%20kommunikation\Affaldsplaner\Affaldsplan%202020-2025\Affaldsdata\De%20enkelte%20kommuner\Vordingborg\Final\Final-final\210728,%20klimkorr,%20%20Vordingborg,%20affaldskortl,%20final.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fp\F&#230;llesdrev\Kommuneservice%20og%20kommunikation\Affaldsplaner\Affaldsplan%202020-2025\Affaldsdata\De%20enkelte%20kommuner\Vordingborg\Final\Final-final\210728,%20klimkorr,%20%20Vordingborg,%20affaldskortl,%20final.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fp\F&#230;llesdrev\Kommuneservice%20og%20kommunikation\Affaldsplaner\Affaldsplan%202020-2025\Affaldsdata\De%20enkelte%20kommuner\Vordingborg\Final\Final-final\210728,%20klimkorr,%20%20Vordingborg,%20affaldskortl,%20final.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hew\Documents\0\0\0\Vordingborg\juni%2021\210512%20Vordingborg,%20affaldskortl,%20final.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ew\Documents\0\0\0\Slagelse\juni%202021\Erhvervsaffald,%202017-2019.ods"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hew\Documents\0\0\0\Vordingborg\juni%2021\210512%20Vordingborg,%20affaldskortl,%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 indsamlet til genanvendelse, Bilag 5-mængder</a:t>
            </a:r>
          </a:p>
        </c:rich>
      </c:tx>
      <c:overlay val="0"/>
      <c:spPr>
        <a:noFill/>
        <a:ln>
          <a:noFill/>
        </a:ln>
      </c:spPr>
    </c:title>
    <c:autoTitleDeleted val="0"/>
    <c:plotArea>
      <c:layout/>
      <c:lineChart>
        <c:grouping val="standard"/>
        <c:varyColors val="0"/>
        <c:ser>
          <c:idx val="0"/>
          <c:order val="0"/>
          <c:spPr>
            <a:ln w="28575" cap="rnd">
              <a:solidFill>
                <a:srgbClr val="4472C4"/>
              </a:solidFill>
              <a:prstDash val="solid"/>
              <a:round/>
            </a:ln>
          </c:spPr>
          <c:marker>
            <c:symbol val="none"/>
          </c:marker>
          <c:cat>
            <c:numRef>
              <c:f>'Bilag_5_2010-2020'!$C$21:$M$21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'Bilag_5_2010-2020'!$C$35:$M$35</c:f>
              <c:numCache>
                <c:formatCode>0</c:formatCode>
                <c:ptCount val="11"/>
                <c:pt idx="0">
                  <c:v>22.734341385846307</c:v>
                </c:pt>
                <c:pt idx="1">
                  <c:v>22.478450295137261</c:v>
                </c:pt>
                <c:pt idx="2">
                  <c:v>22.373261858626897</c:v>
                </c:pt>
                <c:pt idx="3">
                  <c:v>21.828194941916802</c:v>
                </c:pt>
                <c:pt idx="4">
                  <c:v>23.077118726082929</c:v>
                </c:pt>
                <c:pt idx="5">
                  <c:v>35.001658579021502</c:v>
                </c:pt>
                <c:pt idx="6">
                  <c:v>33.845930374282304</c:v>
                </c:pt>
                <c:pt idx="7">
                  <c:v>31.388077564705462</c:v>
                </c:pt>
                <c:pt idx="8">
                  <c:v>35.137781835010543</c:v>
                </c:pt>
                <c:pt idx="9">
                  <c:v>53.308212703864832</c:v>
                </c:pt>
                <c:pt idx="10">
                  <c:v>52.416503643289445</c:v>
                </c:pt>
              </c:numCache>
            </c:numRef>
          </c:val>
          <c:smooth val="0"/>
          <c:extLst>
            <c:ext xmlns:c16="http://schemas.microsoft.com/office/drawing/2014/chart" uri="{C3380CC4-5D6E-409C-BE32-E72D297353CC}">
              <c16:uniqueId val="{00000000-BF58-4880-AE68-49CA0B17F9E4}"/>
            </c:ext>
          </c:extLst>
        </c:ser>
        <c:dLbls>
          <c:showLegendKey val="0"/>
          <c:showVal val="0"/>
          <c:showCatName val="0"/>
          <c:showSerName val="0"/>
          <c:showPercent val="0"/>
          <c:showBubbleSize val="0"/>
        </c:dLbls>
        <c:smooth val="0"/>
        <c:axId val="457643144"/>
        <c:axId val="457648392"/>
      </c:lineChart>
      <c:valAx>
        <c:axId val="457648392"/>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 indsamlet til genanvendelse</a:t>
                </a:r>
              </a:p>
            </c:rich>
          </c:tx>
          <c:overlay val="0"/>
          <c:spPr>
            <a:noFill/>
            <a:ln>
              <a:noFill/>
            </a:ln>
          </c:spPr>
        </c:title>
        <c:numFmt formatCode="0"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7643144"/>
        <c:crosses val="autoZero"/>
        <c:crossBetween val="between"/>
      </c:valAx>
      <c:catAx>
        <c:axId val="457643144"/>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7648392"/>
        <c:crosses val="autoZero"/>
        <c:auto val="1"/>
        <c:lblAlgn val="ctr"/>
        <c:lblOffset val="100"/>
        <c:noMultiLvlLbl val="0"/>
      </c:catAx>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Fortrængt CO2, ton/år</a:t>
            </a:r>
          </a:p>
        </c:rich>
      </c:tx>
      <c:overlay val="0"/>
      <c:spPr>
        <a:noFill/>
        <a:ln>
          <a:noFill/>
        </a:ln>
      </c:spPr>
    </c:title>
    <c:autoTitleDeleted val="0"/>
    <c:plotArea>
      <c:layout/>
      <c:barChart>
        <c:barDir val="col"/>
        <c:grouping val="stacked"/>
        <c:varyColors val="0"/>
        <c:ser>
          <c:idx val="0"/>
          <c:order val="0"/>
          <c:tx>
            <c:strRef>
              <c:f>'Klimaeffekter,_nye_ordning'!$A$85</c:f>
              <c:strCache>
                <c:ptCount val="1"/>
                <c:pt idx="0">
                  <c:v>Husstandsinds.</c:v>
                </c:pt>
              </c:strCache>
            </c:strRef>
          </c:tx>
          <c:spPr>
            <a:solidFill>
              <a:srgbClr val="4472C4"/>
            </a:solidFill>
            <a:ln>
              <a:noFill/>
            </a:ln>
          </c:spPr>
          <c:invertIfNegative val="0"/>
          <c:cat>
            <c:numRef>
              <c:f>'Klimaeffekter,_nye_ordning'!$B$84:$E$84</c:f>
              <c:numCache>
                <c:formatCode>General</c:formatCode>
                <c:ptCount val="4"/>
                <c:pt idx="0">
                  <c:v>2014</c:v>
                </c:pt>
                <c:pt idx="1">
                  <c:v>2020</c:v>
                </c:pt>
                <c:pt idx="2">
                  <c:v>2025</c:v>
                </c:pt>
                <c:pt idx="3">
                  <c:v>2030</c:v>
                </c:pt>
              </c:numCache>
            </c:numRef>
          </c:cat>
          <c:val>
            <c:numRef>
              <c:f>'Klimaeffekter,_nye_ordning'!$B$85:$E$85</c:f>
              <c:numCache>
                <c:formatCode>" "#,##0" ";"-"#,##0" ";" -"00" ";" "@" "</c:formatCode>
                <c:ptCount val="4"/>
                <c:pt idx="0">
                  <c:v>3113.4252960000013</c:v>
                </c:pt>
                <c:pt idx="1">
                  <c:v>3940.9288996500004</c:v>
                </c:pt>
                <c:pt idx="2">
                  <c:v>5057.6629792229705</c:v>
                </c:pt>
                <c:pt idx="3">
                  <c:v>4673.87565863291</c:v>
                </c:pt>
              </c:numCache>
            </c:numRef>
          </c:val>
          <c:extLst>
            <c:ext xmlns:c16="http://schemas.microsoft.com/office/drawing/2014/chart" uri="{C3380CC4-5D6E-409C-BE32-E72D297353CC}">
              <c16:uniqueId val="{00000000-B20C-4636-B293-8EFD48B42F25}"/>
            </c:ext>
          </c:extLst>
        </c:ser>
        <c:ser>
          <c:idx val="1"/>
          <c:order val="1"/>
          <c:tx>
            <c:strRef>
              <c:f>'Klimaeffekter,_nye_ordning'!$A$86</c:f>
              <c:strCache>
                <c:ptCount val="1"/>
                <c:pt idx="0">
                  <c:v>Kommunalt, GBP</c:v>
                </c:pt>
              </c:strCache>
            </c:strRef>
          </c:tx>
          <c:spPr>
            <a:solidFill>
              <a:srgbClr val="ED7D31"/>
            </a:solidFill>
            <a:ln>
              <a:noFill/>
            </a:ln>
          </c:spPr>
          <c:invertIfNegative val="0"/>
          <c:cat>
            <c:numRef>
              <c:f>'Klimaeffekter,_nye_ordning'!$B$84:$E$84</c:f>
              <c:numCache>
                <c:formatCode>General</c:formatCode>
                <c:ptCount val="4"/>
                <c:pt idx="0">
                  <c:v>2014</c:v>
                </c:pt>
                <c:pt idx="1">
                  <c:v>2020</c:v>
                </c:pt>
                <c:pt idx="2">
                  <c:v>2025</c:v>
                </c:pt>
                <c:pt idx="3">
                  <c:v>2030</c:v>
                </c:pt>
              </c:numCache>
            </c:numRef>
          </c:cat>
          <c:val>
            <c:numRef>
              <c:f>'Klimaeffekter,_nye_ordning'!$B$86:$E$86</c:f>
              <c:numCache>
                <c:formatCode>" "#,##0" ";"-"#,##0" ";" -"00" ";" "@" "</c:formatCode>
                <c:ptCount val="4"/>
                <c:pt idx="0">
                  <c:v>7542.7651722204782</c:v>
                </c:pt>
                <c:pt idx="1">
                  <c:v>10041.658976685996</c:v>
                </c:pt>
                <c:pt idx="2">
                  <c:v>12189.177563393137</c:v>
                </c:pt>
                <c:pt idx="3">
                  <c:v>12494.826496351283</c:v>
                </c:pt>
              </c:numCache>
            </c:numRef>
          </c:val>
          <c:extLst>
            <c:ext xmlns:c16="http://schemas.microsoft.com/office/drawing/2014/chart" uri="{C3380CC4-5D6E-409C-BE32-E72D297353CC}">
              <c16:uniqueId val="{00000001-B20C-4636-B293-8EFD48B42F25}"/>
            </c:ext>
          </c:extLst>
        </c:ser>
        <c:dLbls>
          <c:showLegendKey val="0"/>
          <c:showVal val="0"/>
          <c:showCatName val="0"/>
          <c:showSerName val="0"/>
          <c:showPercent val="0"/>
          <c:showBubbleSize val="0"/>
        </c:dLbls>
        <c:gapWidth val="150"/>
        <c:overlap val="100"/>
        <c:axId val="458010168"/>
        <c:axId val="458009184"/>
      </c:barChart>
      <c:valAx>
        <c:axId val="458009184"/>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Ton CO2 pr. 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da-DK"/>
          </a:p>
        </c:txPr>
        <c:crossAx val="458010168"/>
        <c:crosses val="autoZero"/>
        <c:crossBetween val="between"/>
      </c:valAx>
      <c:catAx>
        <c:axId val="458010168"/>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da-DK"/>
          </a:p>
        </c:txPr>
        <c:crossAx val="45800918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Fortrængt CO2, 2014-2030</a:t>
            </a:r>
          </a:p>
        </c:rich>
      </c:tx>
      <c:overlay val="0"/>
      <c:spPr>
        <a:noFill/>
        <a:ln>
          <a:noFill/>
        </a:ln>
      </c:spPr>
    </c:title>
    <c:autoTitleDeleted val="0"/>
    <c:plotArea>
      <c:layout/>
      <c:barChart>
        <c:barDir val="col"/>
        <c:grouping val="stacked"/>
        <c:varyColors val="0"/>
        <c:ser>
          <c:idx val="0"/>
          <c:order val="0"/>
          <c:tx>
            <c:strRef>
              <c:f>'Klimaeffekter,_nye_ordning'!$A$77</c:f>
              <c:strCache>
                <c:ptCount val="1"/>
                <c:pt idx="0">
                  <c:v>Husstandsinds.</c:v>
                </c:pt>
              </c:strCache>
            </c:strRef>
          </c:tx>
          <c:spPr>
            <a:solidFill>
              <a:srgbClr val="4472C4"/>
            </a:solidFill>
            <a:ln>
              <a:noFill/>
            </a:ln>
          </c:spPr>
          <c:invertIfNegative val="0"/>
          <c:cat>
            <c:numRef>
              <c:f>'Klimaeffekter,_nye_ordning'!$B$76:$H$76</c:f>
              <c:numCache>
                <c:formatCode>General</c:formatCode>
                <c:ptCount val="7"/>
                <c:pt idx="0">
                  <c:v>2014</c:v>
                </c:pt>
                <c:pt idx="1">
                  <c:v>2017</c:v>
                </c:pt>
                <c:pt idx="2">
                  <c:v>2018</c:v>
                </c:pt>
                <c:pt idx="3">
                  <c:v>2019</c:v>
                </c:pt>
                <c:pt idx="4">
                  <c:v>2020</c:v>
                </c:pt>
                <c:pt idx="5">
                  <c:v>2025</c:v>
                </c:pt>
                <c:pt idx="6">
                  <c:v>2030</c:v>
                </c:pt>
              </c:numCache>
            </c:numRef>
          </c:cat>
          <c:val>
            <c:numRef>
              <c:f>'Klimaeffekter,_nye_ordning'!$B$77:$H$77</c:f>
              <c:numCache>
                <c:formatCode>" "#,##0" ";"-"#,##0" ";" -"00" ";" "@" "</c:formatCode>
                <c:ptCount val="7"/>
                <c:pt idx="0">
                  <c:v>3113.4252960000013</c:v>
                </c:pt>
                <c:pt idx="1">
                  <c:v>2824.9969000000024</c:v>
                </c:pt>
                <c:pt idx="2">
                  <c:v>2758.3786529800004</c:v>
                </c:pt>
                <c:pt idx="3">
                  <c:v>3999.9863047239996</c:v>
                </c:pt>
                <c:pt idx="4">
                  <c:v>3940.9288996500004</c:v>
                </c:pt>
                <c:pt idx="5">
                  <c:v>5057.6629792229705</c:v>
                </c:pt>
                <c:pt idx="6">
                  <c:v>4673.87565863291</c:v>
                </c:pt>
              </c:numCache>
            </c:numRef>
          </c:val>
          <c:extLst>
            <c:ext xmlns:c16="http://schemas.microsoft.com/office/drawing/2014/chart" uri="{C3380CC4-5D6E-409C-BE32-E72D297353CC}">
              <c16:uniqueId val="{00000000-0947-492E-88DE-9F124F61EB35}"/>
            </c:ext>
          </c:extLst>
        </c:ser>
        <c:ser>
          <c:idx val="1"/>
          <c:order val="1"/>
          <c:tx>
            <c:strRef>
              <c:f>'Klimaeffekter,_nye_ordning'!$A$78</c:f>
              <c:strCache>
                <c:ptCount val="1"/>
                <c:pt idx="0">
                  <c:v>Kommunalt, GBP</c:v>
                </c:pt>
              </c:strCache>
            </c:strRef>
          </c:tx>
          <c:spPr>
            <a:solidFill>
              <a:srgbClr val="ED7D31"/>
            </a:solidFill>
            <a:ln>
              <a:noFill/>
            </a:ln>
          </c:spPr>
          <c:invertIfNegative val="0"/>
          <c:cat>
            <c:numRef>
              <c:f>'Klimaeffekter,_nye_ordning'!$B$76:$H$76</c:f>
              <c:numCache>
                <c:formatCode>General</c:formatCode>
                <c:ptCount val="7"/>
                <c:pt idx="0">
                  <c:v>2014</c:v>
                </c:pt>
                <c:pt idx="1">
                  <c:v>2017</c:v>
                </c:pt>
                <c:pt idx="2">
                  <c:v>2018</c:v>
                </c:pt>
                <c:pt idx="3">
                  <c:v>2019</c:v>
                </c:pt>
                <c:pt idx="4">
                  <c:v>2020</c:v>
                </c:pt>
                <c:pt idx="5">
                  <c:v>2025</c:v>
                </c:pt>
                <c:pt idx="6">
                  <c:v>2030</c:v>
                </c:pt>
              </c:numCache>
            </c:numRef>
          </c:cat>
          <c:val>
            <c:numRef>
              <c:f>'Klimaeffekter,_nye_ordning'!$B$78:$H$78</c:f>
              <c:numCache>
                <c:formatCode>" "#,##0" ";"-"#,##0" ";" -"00" ";" "@" "</c:formatCode>
                <c:ptCount val="7"/>
                <c:pt idx="0">
                  <c:v>7542.7651722204782</c:v>
                </c:pt>
                <c:pt idx="1">
                  <c:v>8604.4422317871613</c:v>
                </c:pt>
                <c:pt idx="2">
                  <c:v>8689.1191461553317</c:v>
                </c:pt>
                <c:pt idx="3">
                  <c:v>7968.5439195933159</c:v>
                </c:pt>
                <c:pt idx="4">
                  <c:v>10041.658976685996</c:v>
                </c:pt>
                <c:pt idx="5">
                  <c:v>12189.177563393137</c:v>
                </c:pt>
                <c:pt idx="6">
                  <c:v>12494.826496351283</c:v>
                </c:pt>
              </c:numCache>
            </c:numRef>
          </c:val>
          <c:extLst>
            <c:ext xmlns:c16="http://schemas.microsoft.com/office/drawing/2014/chart" uri="{C3380CC4-5D6E-409C-BE32-E72D297353CC}">
              <c16:uniqueId val="{00000001-0947-492E-88DE-9F124F61EB35}"/>
            </c:ext>
          </c:extLst>
        </c:ser>
        <c:ser>
          <c:idx val="2"/>
          <c:order val="2"/>
          <c:tx>
            <c:strRef>
              <c:f>'Klimaeffekter,_nye_ordning'!$A$79</c:f>
              <c:strCache>
                <c:ptCount val="1"/>
                <c:pt idx="0">
                  <c:v>Bygge- &amp; Anlæg, GBP</c:v>
                </c:pt>
              </c:strCache>
            </c:strRef>
          </c:tx>
          <c:spPr>
            <a:solidFill>
              <a:srgbClr val="A5A5A5"/>
            </a:solidFill>
            <a:ln>
              <a:noFill/>
            </a:ln>
          </c:spPr>
          <c:invertIfNegative val="0"/>
          <c:cat>
            <c:numRef>
              <c:f>'Klimaeffekter,_nye_ordning'!$B$76:$H$76</c:f>
              <c:numCache>
                <c:formatCode>General</c:formatCode>
                <c:ptCount val="7"/>
                <c:pt idx="0">
                  <c:v>2014</c:v>
                </c:pt>
                <c:pt idx="1">
                  <c:v>2017</c:v>
                </c:pt>
                <c:pt idx="2">
                  <c:v>2018</c:v>
                </c:pt>
                <c:pt idx="3">
                  <c:v>2019</c:v>
                </c:pt>
                <c:pt idx="4">
                  <c:v>2020</c:v>
                </c:pt>
                <c:pt idx="5">
                  <c:v>2025</c:v>
                </c:pt>
                <c:pt idx="6">
                  <c:v>2030</c:v>
                </c:pt>
              </c:numCache>
            </c:numRef>
          </c:cat>
          <c:val>
            <c:numRef>
              <c:f>'Klimaeffekter,_nye_ordning'!$B$79:$H$79</c:f>
              <c:numCache>
                <c:formatCode>" "#,##0" ";"-"#,##0" ";" -"00" ";" "@" "</c:formatCode>
                <c:ptCount val="7"/>
                <c:pt idx="0">
                  <c:v>79.04528999999998</c:v>
                </c:pt>
                <c:pt idx="1">
                  <c:v>97.115471999999983</c:v>
                </c:pt>
                <c:pt idx="2">
                  <c:v>76.941579900000008</c:v>
                </c:pt>
                <c:pt idx="3">
                  <c:v>68.599864500000024</c:v>
                </c:pt>
                <c:pt idx="4">
                  <c:v>99.339455100000038</c:v>
                </c:pt>
                <c:pt idx="5">
                  <c:v>101.89450414277303</c:v>
                </c:pt>
                <c:pt idx="6">
                  <c:v>104.44955318554602</c:v>
                </c:pt>
              </c:numCache>
            </c:numRef>
          </c:val>
          <c:extLst>
            <c:ext xmlns:c16="http://schemas.microsoft.com/office/drawing/2014/chart" uri="{C3380CC4-5D6E-409C-BE32-E72D297353CC}">
              <c16:uniqueId val="{00000002-0947-492E-88DE-9F124F61EB35}"/>
            </c:ext>
          </c:extLst>
        </c:ser>
        <c:dLbls>
          <c:showLegendKey val="0"/>
          <c:showVal val="0"/>
          <c:showCatName val="0"/>
          <c:showSerName val="0"/>
          <c:showPercent val="0"/>
          <c:showBubbleSize val="0"/>
        </c:dLbls>
        <c:gapWidth val="150"/>
        <c:overlap val="100"/>
        <c:axId val="458792816"/>
        <c:axId val="458802000"/>
      </c:barChart>
      <c:valAx>
        <c:axId val="458802000"/>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r>
                  <a:rPr lang="da-DK" sz="1000" b="0" i="0" u="none" strike="noStrike" kern="1200" cap="none" spc="0" baseline="0">
                    <a:solidFill>
                      <a:srgbClr val="000000"/>
                    </a:solidFill>
                    <a:uFillTx/>
                    <a:latin typeface="Calibri"/>
                  </a:rPr>
                  <a:t>ton CO2/år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8792816"/>
        <c:crosses val="autoZero"/>
        <c:crossBetween val="between"/>
      </c:valAx>
      <c:catAx>
        <c:axId val="458792816"/>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8802000"/>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Genbrugspladsmængder, ton/år</a:t>
            </a:r>
          </a:p>
        </c:rich>
      </c:tx>
      <c:overlay val="0"/>
      <c:spPr>
        <a:noFill/>
        <a:ln>
          <a:noFill/>
        </a:ln>
      </c:spPr>
    </c:title>
    <c:autoTitleDeleted val="0"/>
    <c:plotArea>
      <c:layout/>
      <c:barChart>
        <c:barDir val="col"/>
        <c:grouping val="stacked"/>
        <c:varyColors val="0"/>
        <c:ser>
          <c:idx val="0"/>
          <c:order val="0"/>
          <c:tx>
            <c:strRef>
              <c:f>'GBP_2014_+_2017-2020'!$B$71</c:f>
              <c:strCache>
                <c:ptCount val="1"/>
                <c:pt idx="0">
                  <c:v>Haveaffald</c:v>
                </c:pt>
              </c:strCache>
            </c:strRef>
          </c:tx>
          <c:spPr>
            <a:solidFill>
              <a:srgbClr val="4472C4"/>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'GBP_2014_+_2017-2020'!$C$71:$G$71</c:f>
              <c:numCache>
                <c:formatCode>" "#,##0" ";"-"#,##0" ";" -"00" ";" "@" "</c:formatCode>
                <c:ptCount val="5"/>
                <c:pt idx="0">
                  <c:v>9224.1800000000076</c:v>
                </c:pt>
                <c:pt idx="1">
                  <c:v>10065.060000000003</c:v>
                </c:pt>
                <c:pt idx="2">
                  <c:v>8897.7499999999945</c:v>
                </c:pt>
                <c:pt idx="3">
                  <c:v>10121.400000000003</c:v>
                </c:pt>
                <c:pt idx="4">
                  <c:v>10378.700000000001</c:v>
                </c:pt>
              </c:numCache>
            </c:numRef>
          </c:val>
          <c:extLst>
            <c:ext xmlns:c16="http://schemas.microsoft.com/office/drawing/2014/chart" uri="{C3380CC4-5D6E-409C-BE32-E72D297353CC}">
              <c16:uniqueId val="{00000000-95D8-4AAE-A7F6-3E81CA397919}"/>
            </c:ext>
          </c:extLst>
        </c:ser>
        <c:ser>
          <c:idx val="1"/>
          <c:order val="1"/>
          <c:tx>
            <c:strRef>
              <c:f>'GBP_2014_+_2017-2020'!$B$72</c:f>
              <c:strCache>
                <c:ptCount val="1"/>
                <c:pt idx="0">
                  <c:v>Beton &amp; tegl</c:v>
                </c:pt>
              </c:strCache>
            </c:strRef>
          </c:tx>
          <c:spPr>
            <a:solidFill>
              <a:srgbClr val="ED7D31"/>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'GBP_2014_+_2017-2020'!$C$72:$G$72</c:f>
              <c:numCache>
                <c:formatCode>" "#,##0" ";"-"#,##0" ";" -"00" ";" "@" "</c:formatCode>
                <c:ptCount val="5"/>
                <c:pt idx="0">
                  <c:v>5121.22</c:v>
                </c:pt>
                <c:pt idx="1">
                  <c:v>5257.6180000000004</c:v>
                </c:pt>
                <c:pt idx="2">
                  <c:v>5154.2799999999988</c:v>
                </c:pt>
                <c:pt idx="3">
                  <c:v>4270.88</c:v>
                </c:pt>
                <c:pt idx="4">
                  <c:v>5975.9000000000005</c:v>
                </c:pt>
              </c:numCache>
            </c:numRef>
          </c:val>
          <c:extLst>
            <c:ext xmlns:c16="http://schemas.microsoft.com/office/drawing/2014/chart" uri="{C3380CC4-5D6E-409C-BE32-E72D297353CC}">
              <c16:uniqueId val="{00000001-95D8-4AAE-A7F6-3E81CA397919}"/>
            </c:ext>
          </c:extLst>
        </c:ser>
        <c:ser>
          <c:idx val="2"/>
          <c:order val="2"/>
          <c:tx>
            <c:strRef>
              <c:f>'GBP_2014_+_2017-2020'!$B$73</c:f>
              <c:strCache>
                <c:ptCount val="1"/>
                <c:pt idx="0">
                  <c:v>Jord</c:v>
                </c:pt>
              </c:strCache>
            </c:strRef>
          </c:tx>
          <c:spPr>
            <a:solidFill>
              <a:srgbClr val="A5A5A5"/>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'GBP_2014_+_2017-2020'!$C$73:$G$73</c:f>
              <c:numCache>
                <c:formatCode>" "#,##0" ";"-"#,##0" ";" -"00" ";" "@" "</c:formatCode>
                <c:ptCount val="5"/>
                <c:pt idx="0">
                  <c:v>1686.66</c:v>
                </c:pt>
                <c:pt idx="1">
                  <c:v>1364.14</c:v>
                </c:pt>
                <c:pt idx="2">
                  <c:v>1487.82</c:v>
                </c:pt>
                <c:pt idx="3">
                  <c:v>1126.4000000000001</c:v>
                </c:pt>
                <c:pt idx="4">
                  <c:v>1802.6</c:v>
                </c:pt>
              </c:numCache>
            </c:numRef>
          </c:val>
          <c:extLst>
            <c:ext xmlns:c16="http://schemas.microsoft.com/office/drawing/2014/chart" uri="{C3380CC4-5D6E-409C-BE32-E72D297353CC}">
              <c16:uniqueId val="{00000002-95D8-4AAE-A7F6-3E81CA397919}"/>
            </c:ext>
          </c:extLst>
        </c:ser>
        <c:ser>
          <c:idx val="3"/>
          <c:order val="3"/>
          <c:tx>
            <c:strRef>
              <c:f>'GBP_2014_+_2017-2020'!$B$74</c:f>
              <c:strCache>
                <c:ptCount val="1"/>
                <c:pt idx="0">
                  <c:v>Stort brændbart</c:v>
                </c:pt>
              </c:strCache>
            </c:strRef>
          </c:tx>
          <c:spPr>
            <a:solidFill>
              <a:srgbClr val="FFC000"/>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'GBP_2014_+_2017-2020'!$C$74:$G$74</c:f>
              <c:numCache>
                <c:formatCode>" "#,##0" ";"-"#,##0" ";" -"00" ";" "@" "</c:formatCode>
                <c:ptCount val="5"/>
                <c:pt idx="0">
                  <c:v>3314.5400000000009</c:v>
                </c:pt>
                <c:pt idx="1">
                  <c:v>2474.360000000001</c:v>
                </c:pt>
                <c:pt idx="2">
                  <c:v>2291.08</c:v>
                </c:pt>
                <c:pt idx="3">
                  <c:v>2435.16</c:v>
                </c:pt>
                <c:pt idx="4">
                  <c:v>2850.81</c:v>
                </c:pt>
              </c:numCache>
            </c:numRef>
          </c:val>
          <c:extLst>
            <c:ext xmlns:c16="http://schemas.microsoft.com/office/drawing/2014/chart" uri="{C3380CC4-5D6E-409C-BE32-E72D297353CC}">
              <c16:uniqueId val="{00000003-95D8-4AAE-A7F6-3E81CA397919}"/>
            </c:ext>
          </c:extLst>
        </c:ser>
        <c:ser>
          <c:idx val="4"/>
          <c:order val="4"/>
          <c:tx>
            <c:strRef>
              <c:f>'GBP_2014_+_2017-2020'!$B$75</c:f>
              <c:strCache>
                <c:ptCount val="1"/>
                <c:pt idx="0">
                  <c:v>Småt brændbart</c:v>
                </c:pt>
              </c:strCache>
            </c:strRef>
          </c:tx>
          <c:spPr>
            <a:solidFill>
              <a:srgbClr val="5B9BD5"/>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'GBP_2014_+_2017-2020'!$C$75:$G$75</c:f>
              <c:numCache>
                <c:formatCode>" "#,##0" ";"-"#,##0" ";" -"00" ";" "@" "</c:formatCode>
                <c:ptCount val="5"/>
                <c:pt idx="0">
                  <c:v>2764.375</c:v>
                </c:pt>
                <c:pt idx="1">
                  <c:v>2726.1469999999999</c:v>
                </c:pt>
                <c:pt idx="2">
                  <c:v>2573.107</c:v>
                </c:pt>
                <c:pt idx="3">
                  <c:v>2491.3800000000019</c:v>
                </c:pt>
                <c:pt idx="4">
                  <c:v>2742.1809999999982</c:v>
                </c:pt>
              </c:numCache>
            </c:numRef>
          </c:val>
          <c:extLst>
            <c:ext xmlns:c16="http://schemas.microsoft.com/office/drawing/2014/chart" uri="{C3380CC4-5D6E-409C-BE32-E72D297353CC}">
              <c16:uniqueId val="{00000004-95D8-4AAE-A7F6-3E81CA397919}"/>
            </c:ext>
          </c:extLst>
        </c:ser>
        <c:ser>
          <c:idx val="5"/>
          <c:order val="5"/>
          <c:tx>
            <c:strRef>
              <c:f>'GBP_2014_+_2017-2020'!$B$76</c:f>
              <c:strCache>
                <c:ptCount val="1"/>
                <c:pt idx="0">
                  <c:v>Jern &amp; metal</c:v>
                </c:pt>
              </c:strCache>
            </c:strRef>
          </c:tx>
          <c:spPr>
            <a:solidFill>
              <a:srgbClr val="70AD47"/>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'GBP_2014_+_2017-2020'!$C$76:$G$76</c:f>
              <c:numCache>
                <c:formatCode>" "#,##0" ";"-"#,##0" ";" -"00" ";" "@" "</c:formatCode>
                <c:ptCount val="5"/>
                <c:pt idx="0">
                  <c:v>1531.914</c:v>
                </c:pt>
                <c:pt idx="1">
                  <c:v>1506.5440000000001</c:v>
                </c:pt>
                <c:pt idx="2">
                  <c:v>1427.0430000000001</c:v>
                </c:pt>
                <c:pt idx="3">
                  <c:v>1109.73</c:v>
                </c:pt>
                <c:pt idx="4">
                  <c:v>1643.4830000000002</c:v>
                </c:pt>
              </c:numCache>
            </c:numRef>
          </c:val>
          <c:extLst>
            <c:ext xmlns:c16="http://schemas.microsoft.com/office/drawing/2014/chart" uri="{C3380CC4-5D6E-409C-BE32-E72D297353CC}">
              <c16:uniqueId val="{00000005-95D8-4AAE-A7F6-3E81CA397919}"/>
            </c:ext>
          </c:extLst>
        </c:ser>
        <c:ser>
          <c:idx val="6"/>
          <c:order val="6"/>
          <c:tx>
            <c:strRef>
              <c:f>'GBP_2014_+_2017-2020'!$B$77</c:f>
              <c:strCache>
                <c:ptCount val="1"/>
                <c:pt idx="0">
                  <c:v>Elektronikskrot</c:v>
                </c:pt>
              </c:strCache>
            </c:strRef>
          </c:tx>
          <c:spPr>
            <a:solidFill>
              <a:srgbClr val="264478"/>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'GBP_2014_+_2017-2020'!$C$77:$G$77</c:f>
              <c:numCache>
                <c:formatCode>" "#,##0" ";"-"#,##0" ";" -"00" ";" "@" "</c:formatCode>
                <c:ptCount val="5"/>
                <c:pt idx="0">
                  <c:v>788.50700000000006</c:v>
                </c:pt>
                <c:pt idx="1">
                  <c:v>721.71400000000006</c:v>
                </c:pt>
                <c:pt idx="2">
                  <c:v>714.88499999999988</c:v>
                </c:pt>
                <c:pt idx="3">
                  <c:v>677.96299999999997</c:v>
                </c:pt>
                <c:pt idx="4">
                  <c:v>850.69400000000007</c:v>
                </c:pt>
              </c:numCache>
            </c:numRef>
          </c:val>
          <c:extLst>
            <c:ext xmlns:c16="http://schemas.microsoft.com/office/drawing/2014/chart" uri="{C3380CC4-5D6E-409C-BE32-E72D297353CC}">
              <c16:uniqueId val="{00000006-95D8-4AAE-A7F6-3E81CA397919}"/>
            </c:ext>
          </c:extLst>
        </c:ser>
        <c:ser>
          <c:idx val="7"/>
          <c:order val="7"/>
          <c:tx>
            <c:strRef>
              <c:f>'GBP_2014_+_2017-2020'!$B$78</c:f>
              <c:strCache>
                <c:ptCount val="1"/>
                <c:pt idx="0">
                  <c:v>Asbest</c:v>
                </c:pt>
              </c:strCache>
            </c:strRef>
          </c:tx>
          <c:spPr>
            <a:solidFill>
              <a:srgbClr val="9E480E"/>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'GBP_2014_+_2017-2020'!$C$78:$G$78</c:f>
              <c:numCache>
                <c:formatCode>" "#,##0" ";"-"#,##0" ";" -"00" ";" "@" "</c:formatCode>
                <c:ptCount val="5"/>
                <c:pt idx="0">
                  <c:v>610.20000000000016</c:v>
                </c:pt>
                <c:pt idx="1">
                  <c:v>576.87999999999965</c:v>
                </c:pt>
                <c:pt idx="2">
                  <c:v>585.96</c:v>
                </c:pt>
                <c:pt idx="3">
                  <c:v>658.83999999999992</c:v>
                </c:pt>
                <c:pt idx="4">
                  <c:v>760.64</c:v>
                </c:pt>
              </c:numCache>
            </c:numRef>
          </c:val>
          <c:extLst>
            <c:ext xmlns:c16="http://schemas.microsoft.com/office/drawing/2014/chart" uri="{C3380CC4-5D6E-409C-BE32-E72D297353CC}">
              <c16:uniqueId val="{00000007-95D8-4AAE-A7F6-3E81CA397919}"/>
            </c:ext>
          </c:extLst>
        </c:ser>
        <c:ser>
          <c:idx val="8"/>
          <c:order val="8"/>
          <c:tx>
            <c:strRef>
              <c:f>'GBP_2014_+_2017-2020'!$B$79</c:f>
              <c:strCache>
                <c:ptCount val="1"/>
                <c:pt idx="0">
                  <c:v>Øvrige</c:v>
                </c:pt>
              </c:strCache>
            </c:strRef>
          </c:tx>
          <c:spPr>
            <a:solidFill>
              <a:srgbClr val="D9D9D9"/>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'GBP_2014_+_2017-2020'!$C$79:$G$79</c:f>
              <c:numCache>
                <c:formatCode>" "#,##0" ";"-"#,##0" ";" -"00" ";" "@" "</c:formatCode>
                <c:ptCount val="5"/>
                <c:pt idx="0">
                  <c:v>3411.5929999999935</c:v>
                </c:pt>
                <c:pt idx="1">
                  <c:v>5817.5280000000021</c:v>
                </c:pt>
                <c:pt idx="2">
                  <c:v>6312.8870000000024</c:v>
                </c:pt>
                <c:pt idx="3">
                  <c:v>6420.9850000000079</c:v>
                </c:pt>
                <c:pt idx="4">
                  <c:v>7402.5280000000021</c:v>
                </c:pt>
              </c:numCache>
            </c:numRef>
          </c:val>
          <c:extLst>
            <c:ext xmlns:c16="http://schemas.microsoft.com/office/drawing/2014/chart" uri="{C3380CC4-5D6E-409C-BE32-E72D297353CC}">
              <c16:uniqueId val="{00000008-95D8-4AAE-A7F6-3E81CA397919}"/>
            </c:ext>
          </c:extLst>
        </c:ser>
        <c:dLbls>
          <c:showLegendKey val="0"/>
          <c:showVal val="0"/>
          <c:showCatName val="0"/>
          <c:showSerName val="0"/>
          <c:showPercent val="0"/>
          <c:showBubbleSize val="0"/>
        </c:dLbls>
        <c:gapWidth val="150"/>
        <c:overlap val="100"/>
        <c:axId val="460474680"/>
        <c:axId val="460470744"/>
      </c:barChart>
      <c:valAx>
        <c:axId val="460470744"/>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Ton pr. 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0474680"/>
        <c:crosses val="autoZero"/>
        <c:crossBetween val="between"/>
      </c:valAx>
      <c:catAx>
        <c:axId val="460474680"/>
        <c:scaling>
          <c:orientation val="minMax"/>
        </c:scaling>
        <c:delete val="0"/>
        <c:axPos val="b"/>
        <c:numFmt formatCode="0"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047074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Genbrugspladsmængder, fordelt på behandling</a:t>
            </a:r>
          </a:p>
        </c:rich>
      </c:tx>
      <c:overlay val="0"/>
      <c:spPr>
        <a:noFill/>
        <a:ln>
          <a:noFill/>
        </a:ln>
      </c:spPr>
    </c:title>
    <c:autoTitleDeleted val="0"/>
    <c:plotArea>
      <c:layout/>
      <c:barChart>
        <c:barDir val="col"/>
        <c:grouping val="stacked"/>
        <c:varyColors val="0"/>
        <c:ser>
          <c:idx val="0"/>
          <c:order val="0"/>
          <c:tx>
            <c:strRef>
              <c:f>'GBP_2014_+_2017-2020'!$B$87</c:f>
              <c:strCache>
                <c:ptCount val="1"/>
                <c:pt idx="0">
                  <c:v>Genanvendelse</c:v>
                </c:pt>
              </c:strCache>
            </c:strRef>
          </c:tx>
          <c:spPr>
            <a:solidFill>
              <a:srgbClr val="4472C4"/>
            </a:solidFill>
            <a:ln>
              <a:noFill/>
            </a:ln>
          </c:spPr>
          <c:invertIfNegative val="0"/>
          <c:cat>
            <c:numRef>
              <c:f>'GBP_2014_+_2017-2020'!$C$86:$G$86</c:f>
              <c:numCache>
                <c:formatCode>General</c:formatCode>
                <c:ptCount val="5"/>
                <c:pt idx="0">
                  <c:v>2014</c:v>
                </c:pt>
                <c:pt idx="1">
                  <c:v>2017</c:v>
                </c:pt>
                <c:pt idx="2">
                  <c:v>2018</c:v>
                </c:pt>
                <c:pt idx="3">
                  <c:v>2019</c:v>
                </c:pt>
                <c:pt idx="4">
                  <c:v>2020</c:v>
                </c:pt>
              </c:numCache>
            </c:numRef>
          </c:cat>
          <c:val>
            <c:numRef>
              <c:f>'GBP_2014_+_2017-2020'!$C$87:$G$87</c:f>
              <c:numCache>
                <c:formatCode>" "#,##0" ";"-"#,##0" ";" -"00" ";" "@" "</c:formatCode>
                <c:ptCount val="5"/>
                <c:pt idx="0">
                  <c:v>20831.320000000007</c:v>
                </c:pt>
                <c:pt idx="1">
                  <c:v>23742.660000000007</c:v>
                </c:pt>
                <c:pt idx="2">
                  <c:v>22926.491999999987</c:v>
                </c:pt>
                <c:pt idx="3">
                  <c:v>22538.491000000005</c:v>
                </c:pt>
                <c:pt idx="4">
                  <c:v>26561.196000000004</c:v>
                </c:pt>
              </c:numCache>
            </c:numRef>
          </c:val>
          <c:extLst>
            <c:ext xmlns:c16="http://schemas.microsoft.com/office/drawing/2014/chart" uri="{C3380CC4-5D6E-409C-BE32-E72D297353CC}">
              <c16:uniqueId val="{00000000-193F-418D-B2C8-DF801DD5F773}"/>
            </c:ext>
          </c:extLst>
        </c:ser>
        <c:ser>
          <c:idx val="1"/>
          <c:order val="1"/>
          <c:tx>
            <c:strRef>
              <c:f>'GBP_2014_+_2017-2020'!$B$88</c:f>
              <c:strCache>
                <c:ptCount val="1"/>
                <c:pt idx="0">
                  <c:v>Forbrænding</c:v>
                </c:pt>
              </c:strCache>
            </c:strRef>
          </c:tx>
          <c:spPr>
            <a:solidFill>
              <a:srgbClr val="ED7D31"/>
            </a:solidFill>
            <a:ln>
              <a:noFill/>
            </a:ln>
          </c:spPr>
          <c:invertIfNegative val="0"/>
          <c:cat>
            <c:numRef>
              <c:f>'GBP_2014_+_2017-2020'!$C$86:$G$86</c:f>
              <c:numCache>
                <c:formatCode>General</c:formatCode>
                <c:ptCount val="5"/>
                <c:pt idx="0">
                  <c:v>2014</c:v>
                </c:pt>
                <c:pt idx="1">
                  <c:v>2017</c:v>
                </c:pt>
                <c:pt idx="2">
                  <c:v>2018</c:v>
                </c:pt>
                <c:pt idx="3">
                  <c:v>2019</c:v>
                </c:pt>
                <c:pt idx="4">
                  <c:v>2020</c:v>
                </c:pt>
              </c:numCache>
            </c:numRef>
          </c:cat>
          <c:val>
            <c:numRef>
              <c:f>'GBP_2014_+_2017-2020'!$C$88:$G$88</c:f>
              <c:numCache>
                <c:formatCode>" "#,##0" ";"-"#,##0" ";" -"00" ";" "@" "</c:formatCode>
                <c:ptCount val="5"/>
                <c:pt idx="0">
                  <c:v>6547.9750000000013</c:v>
                </c:pt>
                <c:pt idx="1">
                  <c:v>5871.8670000000011</c:v>
                </c:pt>
                <c:pt idx="2">
                  <c:v>5545.8670000000002</c:v>
                </c:pt>
                <c:pt idx="3">
                  <c:v>5680.7200000000021</c:v>
                </c:pt>
                <c:pt idx="4">
                  <c:v>6511.9509999999982</c:v>
                </c:pt>
              </c:numCache>
            </c:numRef>
          </c:val>
          <c:extLst>
            <c:ext xmlns:c16="http://schemas.microsoft.com/office/drawing/2014/chart" uri="{C3380CC4-5D6E-409C-BE32-E72D297353CC}">
              <c16:uniqueId val="{00000001-193F-418D-B2C8-DF801DD5F773}"/>
            </c:ext>
          </c:extLst>
        </c:ser>
        <c:ser>
          <c:idx val="2"/>
          <c:order val="2"/>
          <c:tx>
            <c:strRef>
              <c:f>'GBP_2014_+_2017-2020'!$B$89</c:f>
              <c:strCache>
                <c:ptCount val="1"/>
                <c:pt idx="0">
                  <c:v>Deponering</c:v>
                </c:pt>
              </c:strCache>
            </c:strRef>
          </c:tx>
          <c:spPr>
            <a:solidFill>
              <a:srgbClr val="A5A5A5"/>
            </a:solidFill>
            <a:ln>
              <a:noFill/>
            </a:ln>
          </c:spPr>
          <c:invertIfNegative val="0"/>
          <c:cat>
            <c:numRef>
              <c:f>'GBP_2014_+_2017-2020'!$C$86:$G$86</c:f>
              <c:numCache>
                <c:formatCode>General</c:formatCode>
                <c:ptCount val="5"/>
                <c:pt idx="0">
                  <c:v>2014</c:v>
                </c:pt>
                <c:pt idx="1">
                  <c:v>2017</c:v>
                </c:pt>
                <c:pt idx="2">
                  <c:v>2018</c:v>
                </c:pt>
                <c:pt idx="3">
                  <c:v>2019</c:v>
                </c:pt>
                <c:pt idx="4">
                  <c:v>2020</c:v>
                </c:pt>
              </c:numCache>
            </c:numRef>
          </c:cat>
          <c:val>
            <c:numRef>
              <c:f>'GBP_2014_+_2017-2020'!$C$89:$G$89</c:f>
              <c:numCache>
                <c:formatCode>" "#,##0" ";"-"#,##0" ";" -"00" ";" "@" "</c:formatCode>
                <c:ptCount val="5"/>
                <c:pt idx="0">
                  <c:v>955.12000000000023</c:v>
                </c:pt>
                <c:pt idx="1">
                  <c:v>765.87999999999965</c:v>
                </c:pt>
                <c:pt idx="2">
                  <c:v>831.6400000000001</c:v>
                </c:pt>
                <c:pt idx="3">
                  <c:v>962.52</c:v>
                </c:pt>
                <c:pt idx="4">
                  <c:v>1169.8</c:v>
                </c:pt>
              </c:numCache>
            </c:numRef>
          </c:val>
          <c:extLst>
            <c:ext xmlns:c16="http://schemas.microsoft.com/office/drawing/2014/chart" uri="{C3380CC4-5D6E-409C-BE32-E72D297353CC}">
              <c16:uniqueId val="{00000002-193F-418D-B2C8-DF801DD5F773}"/>
            </c:ext>
          </c:extLst>
        </c:ser>
        <c:ser>
          <c:idx val="3"/>
          <c:order val="3"/>
          <c:tx>
            <c:strRef>
              <c:f>'GBP_2014_+_2017-2020'!$B$90</c:f>
              <c:strCache>
                <c:ptCount val="1"/>
                <c:pt idx="0">
                  <c:v>Specialbeh.</c:v>
                </c:pt>
              </c:strCache>
            </c:strRef>
          </c:tx>
          <c:spPr>
            <a:solidFill>
              <a:srgbClr val="FFC000"/>
            </a:solidFill>
            <a:ln>
              <a:noFill/>
            </a:ln>
          </c:spPr>
          <c:invertIfNegative val="0"/>
          <c:cat>
            <c:numRef>
              <c:f>'GBP_2014_+_2017-2020'!$C$86:$G$86</c:f>
              <c:numCache>
                <c:formatCode>General</c:formatCode>
                <c:ptCount val="5"/>
                <c:pt idx="0">
                  <c:v>2014</c:v>
                </c:pt>
                <c:pt idx="1">
                  <c:v>2017</c:v>
                </c:pt>
                <c:pt idx="2">
                  <c:v>2018</c:v>
                </c:pt>
                <c:pt idx="3">
                  <c:v>2019</c:v>
                </c:pt>
                <c:pt idx="4">
                  <c:v>2020</c:v>
                </c:pt>
              </c:numCache>
            </c:numRef>
          </c:cat>
          <c:val>
            <c:numRef>
              <c:f>'GBP_2014_+_2017-2020'!$C$90:$G$90</c:f>
              <c:numCache>
                <c:formatCode>" "#,##0" ";"-"#,##0" ";" -"00" ";" "@" "</c:formatCode>
                <c:ptCount val="5"/>
                <c:pt idx="0">
                  <c:v>118.774</c:v>
                </c:pt>
                <c:pt idx="1">
                  <c:v>129.584</c:v>
                </c:pt>
                <c:pt idx="2">
                  <c:v>140.81299999999999</c:v>
                </c:pt>
                <c:pt idx="3">
                  <c:v>131.00699999999998</c:v>
                </c:pt>
                <c:pt idx="4">
                  <c:v>164.589</c:v>
                </c:pt>
              </c:numCache>
            </c:numRef>
          </c:val>
          <c:extLst>
            <c:ext xmlns:c16="http://schemas.microsoft.com/office/drawing/2014/chart" uri="{C3380CC4-5D6E-409C-BE32-E72D297353CC}">
              <c16:uniqueId val="{00000003-193F-418D-B2C8-DF801DD5F773}"/>
            </c:ext>
          </c:extLst>
        </c:ser>
        <c:dLbls>
          <c:showLegendKey val="0"/>
          <c:showVal val="0"/>
          <c:showCatName val="0"/>
          <c:showSerName val="0"/>
          <c:showPercent val="0"/>
          <c:showBubbleSize val="0"/>
        </c:dLbls>
        <c:gapWidth val="150"/>
        <c:overlap val="100"/>
        <c:axId val="460474024"/>
        <c:axId val="460473368"/>
      </c:barChart>
      <c:valAx>
        <c:axId val="460473368"/>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Ton pr. 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0474024"/>
        <c:crosses val="autoZero"/>
        <c:crossBetween val="between"/>
      </c:valAx>
      <c:catAx>
        <c:axId val="460474024"/>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0473368"/>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GBP-mængder fordelt på behandlingsform, kg/husstand/år</a:t>
            </a:r>
          </a:p>
        </c:rich>
      </c:tx>
      <c:overlay val="0"/>
      <c:spPr>
        <a:noFill/>
        <a:ln>
          <a:noFill/>
        </a:ln>
      </c:spPr>
    </c:title>
    <c:autoTitleDeleted val="0"/>
    <c:plotArea>
      <c:layout/>
      <c:barChart>
        <c:barDir val="col"/>
        <c:grouping val="stacked"/>
        <c:varyColors val="0"/>
        <c:ser>
          <c:idx val="0"/>
          <c:order val="0"/>
          <c:tx>
            <c:strRef>
              <c:f>'GBP_2014_+_2017-2020'!$B$98</c:f>
              <c:strCache>
                <c:ptCount val="1"/>
                <c:pt idx="0">
                  <c:v>Genanvendelse</c:v>
                </c:pt>
              </c:strCache>
            </c:strRef>
          </c:tx>
          <c:spPr>
            <a:solidFill>
              <a:srgbClr val="4472C4"/>
            </a:solidFill>
            <a:ln>
              <a:noFill/>
            </a:ln>
          </c:spPr>
          <c:invertIfNegative val="0"/>
          <c:cat>
            <c:numRef>
              <c:f>'GBP_2014_+_2017-2020'!$C$97:$G$97</c:f>
              <c:numCache>
                <c:formatCode>General</c:formatCode>
                <c:ptCount val="5"/>
                <c:pt idx="0">
                  <c:v>2014</c:v>
                </c:pt>
                <c:pt idx="1">
                  <c:v>2017</c:v>
                </c:pt>
                <c:pt idx="2">
                  <c:v>2018</c:v>
                </c:pt>
                <c:pt idx="3">
                  <c:v>2019</c:v>
                </c:pt>
                <c:pt idx="4">
                  <c:v>2020</c:v>
                </c:pt>
              </c:numCache>
            </c:numRef>
          </c:cat>
          <c:val>
            <c:numRef>
              <c:f>'GBP_2014_+_2017-2020'!$C$98:$G$98</c:f>
              <c:numCache>
                <c:formatCode>" "#,##0" ";"-"#,##0" ";" -"00" ";" "@" "</c:formatCode>
                <c:ptCount val="5"/>
                <c:pt idx="0">
                  <c:v>908.47448757086818</c:v>
                </c:pt>
                <c:pt idx="1">
                  <c:v>1018.7971473443016</c:v>
                </c:pt>
                <c:pt idx="2">
                  <c:v>982.80543219190952</c:v>
                </c:pt>
                <c:pt idx="3">
                  <c:v>967.42516332294599</c:v>
                </c:pt>
                <c:pt idx="4">
                  <c:v>1138.6069839419065</c:v>
                </c:pt>
              </c:numCache>
            </c:numRef>
          </c:val>
          <c:extLst>
            <c:ext xmlns:c16="http://schemas.microsoft.com/office/drawing/2014/chart" uri="{C3380CC4-5D6E-409C-BE32-E72D297353CC}">
              <c16:uniqueId val="{00000000-1B1E-4E0A-99EE-7751ED574A17}"/>
            </c:ext>
          </c:extLst>
        </c:ser>
        <c:ser>
          <c:idx val="1"/>
          <c:order val="1"/>
          <c:tx>
            <c:strRef>
              <c:f>'GBP_2014_+_2017-2020'!$B$99</c:f>
              <c:strCache>
                <c:ptCount val="1"/>
                <c:pt idx="0">
                  <c:v>Forbrænding</c:v>
                </c:pt>
              </c:strCache>
            </c:strRef>
          </c:tx>
          <c:spPr>
            <a:solidFill>
              <a:srgbClr val="ED7D31"/>
            </a:solidFill>
            <a:ln>
              <a:noFill/>
            </a:ln>
          </c:spPr>
          <c:invertIfNegative val="0"/>
          <c:cat>
            <c:numRef>
              <c:f>'GBP_2014_+_2017-2020'!$C$97:$G$97</c:f>
              <c:numCache>
                <c:formatCode>General</c:formatCode>
                <c:ptCount val="5"/>
                <c:pt idx="0">
                  <c:v>2014</c:v>
                </c:pt>
                <c:pt idx="1">
                  <c:v>2017</c:v>
                </c:pt>
                <c:pt idx="2">
                  <c:v>2018</c:v>
                </c:pt>
                <c:pt idx="3">
                  <c:v>2019</c:v>
                </c:pt>
                <c:pt idx="4">
                  <c:v>2020</c:v>
                </c:pt>
              </c:numCache>
            </c:numRef>
          </c:cat>
          <c:val>
            <c:numRef>
              <c:f>'GBP_2014_+_2017-2020'!$C$99:$G$99</c:f>
              <c:numCache>
                <c:formatCode>" "#,##0" ";"-"#,##0" ";" -"00" ";" "@" "</c:formatCode>
                <c:ptCount val="5"/>
                <c:pt idx="0">
                  <c:v>285.56367204535547</c:v>
                </c:pt>
                <c:pt idx="1">
                  <c:v>251.96171571277782</c:v>
                </c:pt>
                <c:pt idx="2">
                  <c:v>237.73843001423208</c:v>
                </c:pt>
                <c:pt idx="3">
                  <c:v>243.83493437035901</c:v>
                </c:pt>
                <c:pt idx="4">
                  <c:v>279.14981266986166</c:v>
                </c:pt>
              </c:numCache>
            </c:numRef>
          </c:val>
          <c:extLst>
            <c:ext xmlns:c16="http://schemas.microsoft.com/office/drawing/2014/chart" uri="{C3380CC4-5D6E-409C-BE32-E72D297353CC}">
              <c16:uniqueId val="{00000001-1B1E-4E0A-99EE-7751ED574A17}"/>
            </c:ext>
          </c:extLst>
        </c:ser>
        <c:ser>
          <c:idx val="2"/>
          <c:order val="2"/>
          <c:tx>
            <c:strRef>
              <c:f>'GBP_2014_+_2017-2020'!$B$100</c:f>
              <c:strCache>
                <c:ptCount val="1"/>
                <c:pt idx="0">
                  <c:v>Deponering</c:v>
                </c:pt>
              </c:strCache>
            </c:strRef>
          </c:tx>
          <c:spPr>
            <a:solidFill>
              <a:srgbClr val="A5A5A5"/>
            </a:solidFill>
            <a:ln>
              <a:noFill/>
            </a:ln>
          </c:spPr>
          <c:invertIfNegative val="0"/>
          <c:cat>
            <c:numRef>
              <c:f>'GBP_2014_+_2017-2020'!$C$97:$G$97</c:f>
              <c:numCache>
                <c:formatCode>General</c:formatCode>
                <c:ptCount val="5"/>
                <c:pt idx="0">
                  <c:v>2014</c:v>
                </c:pt>
                <c:pt idx="1">
                  <c:v>2017</c:v>
                </c:pt>
                <c:pt idx="2">
                  <c:v>2018</c:v>
                </c:pt>
                <c:pt idx="3">
                  <c:v>2019</c:v>
                </c:pt>
                <c:pt idx="4">
                  <c:v>2020</c:v>
                </c:pt>
              </c:numCache>
            </c:numRef>
          </c:cat>
          <c:val>
            <c:numRef>
              <c:f>'GBP_2014_+_2017-2020'!$C$100:$G$100</c:f>
              <c:numCache>
                <c:formatCode>" "#,##0" ";"-"#,##0" ";" -"00" ";" "@" "</c:formatCode>
                <c:ptCount val="5"/>
                <c:pt idx="0">
                  <c:v>41.653728739642396</c:v>
                </c:pt>
                <c:pt idx="1">
                  <c:v>32.863898114535317</c:v>
                </c:pt>
                <c:pt idx="2">
                  <c:v>35.6504741164972</c:v>
                </c:pt>
                <c:pt idx="3">
                  <c:v>41.314481444281334</c:v>
                </c:pt>
                <c:pt idx="4">
                  <c:v>50.146177522098093</c:v>
                </c:pt>
              </c:numCache>
            </c:numRef>
          </c:val>
          <c:extLst>
            <c:ext xmlns:c16="http://schemas.microsoft.com/office/drawing/2014/chart" uri="{C3380CC4-5D6E-409C-BE32-E72D297353CC}">
              <c16:uniqueId val="{00000002-1B1E-4E0A-99EE-7751ED574A17}"/>
            </c:ext>
          </c:extLst>
        </c:ser>
        <c:ser>
          <c:idx val="3"/>
          <c:order val="3"/>
          <c:tx>
            <c:strRef>
              <c:f>'GBP_2014_+_2017-2020'!$B$101</c:f>
              <c:strCache>
                <c:ptCount val="1"/>
                <c:pt idx="0">
                  <c:v>Specialbeh.</c:v>
                </c:pt>
              </c:strCache>
            </c:strRef>
          </c:tx>
          <c:spPr>
            <a:solidFill>
              <a:srgbClr val="FFC000"/>
            </a:solidFill>
            <a:ln>
              <a:noFill/>
            </a:ln>
          </c:spPr>
          <c:invertIfNegative val="0"/>
          <c:cat>
            <c:numRef>
              <c:f>'GBP_2014_+_2017-2020'!$C$97:$G$97</c:f>
              <c:numCache>
                <c:formatCode>General</c:formatCode>
                <c:ptCount val="5"/>
                <c:pt idx="0">
                  <c:v>2014</c:v>
                </c:pt>
                <c:pt idx="1">
                  <c:v>2017</c:v>
                </c:pt>
                <c:pt idx="2">
                  <c:v>2018</c:v>
                </c:pt>
                <c:pt idx="3">
                  <c:v>2019</c:v>
                </c:pt>
                <c:pt idx="4">
                  <c:v>2020</c:v>
                </c:pt>
              </c:numCache>
            </c:numRef>
          </c:cat>
          <c:val>
            <c:numRef>
              <c:f>'GBP_2014_+_2017-2020'!$C$101:$G$101</c:f>
              <c:numCache>
                <c:formatCode>" "#,##0" ";"-"#,##0" ";" -"00" ";" "@" "</c:formatCode>
                <c:ptCount val="5"/>
                <c:pt idx="0">
                  <c:v>5.1798517226341039</c:v>
                </c:pt>
                <c:pt idx="1">
                  <c:v>5.5604472936673455</c:v>
                </c:pt>
                <c:pt idx="2">
                  <c:v>6.0363260686911637</c:v>
                </c:pt>
                <c:pt idx="3">
                  <c:v>5.62324551237477</c:v>
                </c:pt>
                <c:pt idx="4">
                  <c:v>7.0554874441653306</c:v>
                </c:pt>
              </c:numCache>
            </c:numRef>
          </c:val>
          <c:extLst>
            <c:ext xmlns:c16="http://schemas.microsoft.com/office/drawing/2014/chart" uri="{C3380CC4-5D6E-409C-BE32-E72D297353CC}">
              <c16:uniqueId val="{00000003-1B1E-4E0A-99EE-7751ED574A17}"/>
            </c:ext>
          </c:extLst>
        </c:ser>
        <c:dLbls>
          <c:showLegendKey val="0"/>
          <c:showVal val="0"/>
          <c:showCatName val="0"/>
          <c:showSerName val="0"/>
          <c:showPercent val="0"/>
          <c:showBubbleSize val="0"/>
        </c:dLbls>
        <c:gapWidth val="150"/>
        <c:overlap val="100"/>
        <c:axId val="460472384"/>
        <c:axId val="460472056"/>
      </c:barChart>
      <c:valAx>
        <c:axId val="460472056"/>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Kg/husstand/år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da-DK"/>
          </a:p>
        </c:txPr>
        <c:crossAx val="460472384"/>
        <c:crosses val="autoZero"/>
        <c:crossBetween val="between"/>
      </c:valAx>
      <c:catAx>
        <c:axId val="460472384"/>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da-DK"/>
          </a:p>
        </c:txPr>
        <c:crossAx val="460472056"/>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Husstands- og GBP-indsamlede mængder, kg/husstand/år</a:t>
            </a:r>
          </a:p>
        </c:rich>
      </c:tx>
      <c:overlay val="0"/>
      <c:spPr>
        <a:noFill/>
        <a:ln>
          <a:noFill/>
        </a:ln>
      </c:spPr>
    </c:title>
    <c:autoTitleDeleted val="0"/>
    <c:plotArea>
      <c:layout/>
      <c:barChart>
        <c:barDir val="col"/>
        <c:grouping val="stacked"/>
        <c:varyColors val="0"/>
        <c:ser>
          <c:idx val="0"/>
          <c:order val="0"/>
          <c:tx>
            <c:strRef>
              <c:f>'GBP_2014_+_2017-2020'!$B$133</c:f>
              <c:strCache>
                <c:ptCount val="1"/>
                <c:pt idx="0">
                  <c:v>GBP</c:v>
                </c:pt>
              </c:strCache>
            </c:strRef>
          </c:tx>
          <c:spPr>
            <a:solidFill>
              <a:srgbClr val="4472C4"/>
            </a:solidFill>
            <a:ln>
              <a:noFill/>
            </a:ln>
          </c:spPr>
          <c:invertIfNegative val="0"/>
          <c:cat>
            <c:numRef>
              <c:f>'GBP_2014_+_2017-2020'!$C$132:$G$132</c:f>
              <c:numCache>
                <c:formatCode>General</c:formatCode>
                <c:ptCount val="5"/>
                <c:pt idx="0">
                  <c:v>2014</c:v>
                </c:pt>
                <c:pt idx="1">
                  <c:v>2017</c:v>
                </c:pt>
                <c:pt idx="2">
                  <c:v>2018</c:v>
                </c:pt>
                <c:pt idx="3">
                  <c:v>2019</c:v>
                </c:pt>
                <c:pt idx="4">
                  <c:v>2020</c:v>
                </c:pt>
              </c:numCache>
            </c:numRef>
          </c:cat>
          <c:val>
            <c:numRef>
              <c:f>'GBP_2014_+_2017-2020'!$C$133:$G$133</c:f>
              <c:numCache>
                <c:formatCode>" "#,##0" ";"-"#,##0" ";" -"00" ";" "@" "</c:formatCode>
                <c:ptCount val="5"/>
                <c:pt idx="0">
                  <c:v>1240.8717400785001</c:v>
                </c:pt>
                <c:pt idx="1">
                  <c:v>1309.183208465282</c:v>
                </c:pt>
                <c:pt idx="2">
                  <c:v>1262.23066239133</c:v>
                </c:pt>
                <c:pt idx="3">
                  <c:v>1258.1978246499611</c:v>
                </c:pt>
                <c:pt idx="4">
                  <c:v>1474.9584615780318</c:v>
                </c:pt>
              </c:numCache>
            </c:numRef>
          </c:val>
          <c:extLst>
            <c:ext xmlns:c16="http://schemas.microsoft.com/office/drawing/2014/chart" uri="{C3380CC4-5D6E-409C-BE32-E72D297353CC}">
              <c16:uniqueId val="{00000000-2DE7-4A28-9CBB-7A526A162096}"/>
            </c:ext>
          </c:extLst>
        </c:ser>
        <c:ser>
          <c:idx val="1"/>
          <c:order val="1"/>
          <c:tx>
            <c:strRef>
              <c:f>'GBP_2014_+_2017-2020'!$B$134</c:f>
              <c:strCache>
                <c:ptCount val="1"/>
                <c:pt idx="0">
                  <c:v>Husstandsinds.</c:v>
                </c:pt>
              </c:strCache>
            </c:strRef>
          </c:tx>
          <c:spPr>
            <a:solidFill>
              <a:srgbClr val="ED7D31"/>
            </a:solidFill>
            <a:ln>
              <a:noFill/>
            </a:ln>
          </c:spPr>
          <c:invertIfNegative val="0"/>
          <c:cat>
            <c:numRef>
              <c:f>'GBP_2014_+_2017-2020'!$C$132:$G$132</c:f>
              <c:numCache>
                <c:formatCode>General</c:formatCode>
                <c:ptCount val="5"/>
                <c:pt idx="0">
                  <c:v>2014</c:v>
                </c:pt>
                <c:pt idx="1">
                  <c:v>2017</c:v>
                </c:pt>
                <c:pt idx="2">
                  <c:v>2018</c:v>
                </c:pt>
                <c:pt idx="3">
                  <c:v>2019</c:v>
                </c:pt>
                <c:pt idx="4">
                  <c:v>2020</c:v>
                </c:pt>
              </c:numCache>
            </c:numRef>
          </c:cat>
          <c:val>
            <c:numRef>
              <c:f>'GBP_2014_+_2017-2020'!$C$134:$G$134</c:f>
              <c:numCache>
                <c:formatCode>" "#,##0" ";"-"#,##0" ";" -"00" ";" "@" "</c:formatCode>
                <c:ptCount val="5"/>
                <c:pt idx="0">
                  <c:v>613.28774531181864</c:v>
                </c:pt>
                <c:pt idx="1">
                  <c:v>610.28054547170939</c:v>
                </c:pt>
                <c:pt idx="2">
                  <c:v>583.70158095989325</c:v>
                </c:pt>
                <c:pt idx="3">
                  <c:v>559.46749422682353</c:v>
                </c:pt>
                <c:pt idx="4">
                  <c:v>581.09937499464161</c:v>
                </c:pt>
              </c:numCache>
            </c:numRef>
          </c:val>
          <c:extLst>
            <c:ext xmlns:c16="http://schemas.microsoft.com/office/drawing/2014/chart" uri="{C3380CC4-5D6E-409C-BE32-E72D297353CC}">
              <c16:uniqueId val="{00000001-2DE7-4A28-9CBB-7A526A162096}"/>
            </c:ext>
          </c:extLst>
        </c:ser>
        <c:dLbls>
          <c:showLegendKey val="0"/>
          <c:showVal val="0"/>
          <c:showCatName val="0"/>
          <c:showSerName val="0"/>
          <c:showPercent val="0"/>
          <c:showBubbleSize val="0"/>
        </c:dLbls>
        <c:gapWidth val="150"/>
        <c:overlap val="100"/>
        <c:axId val="458007216"/>
        <c:axId val="458012792"/>
      </c:barChart>
      <c:valAx>
        <c:axId val="458012792"/>
        <c:scaling>
          <c:orientation val="minMax"/>
        </c:scaling>
        <c:delete val="0"/>
        <c:axPos val="l"/>
        <c:majorGridlines>
          <c:spPr>
            <a:ln w="9528" cap="flat">
              <a:solidFill>
                <a:srgbClr val="D9D9D9"/>
              </a:solidFill>
              <a:prstDash val="solid"/>
              <a:round/>
            </a:ln>
          </c:spPr>
        </c:majorGridlines>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8007216"/>
        <c:crosses val="autoZero"/>
        <c:crossBetween val="between"/>
      </c:valAx>
      <c:catAx>
        <c:axId val="458007216"/>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8012792"/>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Husstands- og genbrugspladsindsamlet affald til forbrænding, kg/husstand/år</a:t>
            </a:r>
          </a:p>
        </c:rich>
      </c:tx>
      <c:overlay val="0"/>
      <c:spPr>
        <a:noFill/>
        <a:ln>
          <a:noFill/>
        </a:ln>
      </c:spPr>
    </c:title>
    <c:autoTitleDeleted val="0"/>
    <c:plotArea>
      <c:layout/>
      <c:barChart>
        <c:barDir val="col"/>
        <c:grouping val="stacked"/>
        <c:varyColors val="0"/>
        <c:ser>
          <c:idx val="0"/>
          <c:order val="0"/>
          <c:tx>
            <c:strRef>
              <c:f>'GBP_2014_+_2017-2020'!$B$112</c:f>
              <c:strCache>
                <c:ptCount val="1"/>
                <c:pt idx="0">
                  <c:v>Forbrænding, GBP</c:v>
                </c:pt>
              </c:strCache>
            </c:strRef>
          </c:tx>
          <c:spPr>
            <a:solidFill>
              <a:srgbClr val="4472C4"/>
            </a:solidFill>
            <a:ln>
              <a:noFill/>
            </a:ln>
          </c:spPr>
          <c:invertIfNegative val="0"/>
          <c:cat>
            <c:numRef>
              <c:f>'GBP_2014_+_2017-2020'!$C$111:$G$111</c:f>
              <c:numCache>
                <c:formatCode>General</c:formatCode>
                <c:ptCount val="5"/>
                <c:pt idx="0">
                  <c:v>2014</c:v>
                </c:pt>
                <c:pt idx="1">
                  <c:v>2017</c:v>
                </c:pt>
                <c:pt idx="2">
                  <c:v>2018</c:v>
                </c:pt>
                <c:pt idx="3">
                  <c:v>2019</c:v>
                </c:pt>
                <c:pt idx="4">
                  <c:v>2020</c:v>
                </c:pt>
              </c:numCache>
            </c:numRef>
          </c:cat>
          <c:val>
            <c:numRef>
              <c:f>'GBP_2014_+_2017-2020'!$C$112:$G$112</c:f>
              <c:numCache>
                <c:formatCode>" "#,##0" ";"-"#,##0" ";" -"00" ";" "@" "</c:formatCode>
                <c:ptCount val="5"/>
                <c:pt idx="0">
                  <c:v>285.56367204535547</c:v>
                </c:pt>
                <c:pt idx="1">
                  <c:v>251.96171571277782</c:v>
                </c:pt>
                <c:pt idx="2">
                  <c:v>237.73843001423208</c:v>
                </c:pt>
                <c:pt idx="3">
                  <c:v>243.83493437035901</c:v>
                </c:pt>
                <c:pt idx="4">
                  <c:v>279.14981266986166</c:v>
                </c:pt>
              </c:numCache>
            </c:numRef>
          </c:val>
          <c:extLst>
            <c:ext xmlns:c16="http://schemas.microsoft.com/office/drawing/2014/chart" uri="{C3380CC4-5D6E-409C-BE32-E72D297353CC}">
              <c16:uniqueId val="{00000000-20D4-4BAA-AB5B-E701F58ADB13}"/>
            </c:ext>
          </c:extLst>
        </c:ser>
        <c:ser>
          <c:idx val="1"/>
          <c:order val="1"/>
          <c:tx>
            <c:strRef>
              <c:f>'GBP_2014_+_2017-2020'!$B$113</c:f>
              <c:strCache>
                <c:ptCount val="1"/>
                <c:pt idx="0">
                  <c:v>Rest, husst.-inds.</c:v>
                </c:pt>
              </c:strCache>
            </c:strRef>
          </c:tx>
          <c:spPr>
            <a:solidFill>
              <a:srgbClr val="ED7D31"/>
            </a:solidFill>
            <a:ln>
              <a:noFill/>
            </a:ln>
          </c:spPr>
          <c:invertIfNegative val="0"/>
          <c:cat>
            <c:numRef>
              <c:f>'GBP_2014_+_2017-2020'!$C$111:$G$111</c:f>
              <c:numCache>
                <c:formatCode>General</c:formatCode>
                <c:ptCount val="5"/>
                <c:pt idx="0">
                  <c:v>2014</c:v>
                </c:pt>
                <c:pt idx="1">
                  <c:v>2017</c:v>
                </c:pt>
                <c:pt idx="2">
                  <c:v>2018</c:v>
                </c:pt>
                <c:pt idx="3">
                  <c:v>2019</c:v>
                </c:pt>
                <c:pt idx="4">
                  <c:v>2020</c:v>
                </c:pt>
              </c:numCache>
            </c:numRef>
          </c:cat>
          <c:val>
            <c:numRef>
              <c:f>'GBP_2014_+_2017-2020'!$C$113:$G$113</c:f>
              <c:numCache>
                <c:formatCode>" "#,##0" ";"-"#,##0" ";" -"00" ";" "@" "</c:formatCode>
                <c:ptCount val="5"/>
                <c:pt idx="0">
                  <c:v>525.80091583078945</c:v>
                </c:pt>
                <c:pt idx="1">
                  <c:v>511.97720621679821</c:v>
                </c:pt>
                <c:pt idx="2">
                  <c:v>469.3376086695589</c:v>
                </c:pt>
                <c:pt idx="3">
                  <c:v>264.65614188707741</c:v>
                </c:pt>
                <c:pt idx="4">
                  <c:v>283.00418384931288</c:v>
                </c:pt>
              </c:numCache>
            </c:numRef>
          </c:val>
          <c:extLst>
            <c:ext xmlns:c16="http://schemas.microsoft.com/office/drawing/2014/chart" uri="{C3380CC4-5D6E-409C-BE32-E72D297353CC}">
              <c16:uniqueId val="{00000001-20D4-4BAA-AB5B-E701F58ADB13}"/>
            </c:ext>
          </c:extLst>
        </c:ser>
        <c:dLbls>
          <c:showLegendKey val="0"/>
          <c:showVal val="0"/>
          <c:showCatName val="0"/>
          <c:showSerName val="0"/>
          <c:showPercent val="0"/>
          <c:showBubbleSize val="0"/>
        </c:dLbls>
        <c:gapWidth val="150"/>
        <c:overlap val="100"/>
        <c:axId val="461106696"/>
        <c:axId val="461098824"/>
      </c:barChart>
      <c:valAx>
        <c:axId val="461098824"/>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Kg/husstand/år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da-DK"/>
          </a:p>
        </c:txPr>
        <c:crossAx val="461106696"/>
        <c:crosses val="autoZero"/>
        <c:crossBetween val="between"/>
      </c:valAx>
      <c:catAx>
        <c:axId val="461106696"/>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da-DK"/>
          </a:p>
        </c:txPr>
        <c:crossAx val="46109882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Husstands- og GBP-indsamlet affald til forbrænding, kg/hs/år</a:t>
            </a:r>
          </a:p>
        </c:rich>
      </c:tx>
      <c:overlay val="0"/>
      <c:spPr>
        <a:noFill/>
        <a:ln>
          <a:noFill/>
        </a:ln>
      </c:spPr>
    </c:title>
    <c:autoTitleDeleted val="0"/>
    <c:plotArea>
      <c:layout/>
      <c:barChart>
        <c:barDir val="col"/>
        <c:grouping val="clustered"/>
        <c:varyColors val="0"/>
        <c:ser>
          <c:idx val="0"/>
          <c:order val="0"/>
          <c:tx>
            <c:strRef>
              <c:f>'GBP_2014_+_2017-2020'!$B$112</c:f>
              <c:strCache>
                <c:ptCount val="1"/>
                <c:pt idx="0">
                  <c:v>Forbrænding, GBP</c:v>
                </c:pt>
              </c:strCache>
            </c:strRef>
          </c:tx>
          <c:spPr>
            <a:solidFill>
              <a:srgbClr val="4472C4"/>
            </a:solidFill>
            <a:ln>
              <a:noFill/>
            </a:ln>
          </c:spPr>
          <c:invertIfNegative val="0"/>
          <c:cat>
            <c:numRef>
              <c:f>'GBP_2014_+_2017-2020'!$C$111:$G$111</c:f>
              <c:numCache>
                <c:formatCode>General</c:formatCode>
                <c:ptCount val="5"/>
                <c:pt idx="0">
                  <c:v>2014</c:v>
                </c:pt>
                <c:pt idx="1">
                  <c:v>2017</c:v>
                </c:pt>
                <c:pt idx="2">
                  <c:v>2018</c:v>
                </c:pt>
                <c:pt idx="3">
                  <c:v>2019</c:v>
                </c:pt>
                <c:pt idx="4">
                  <c:v>2020</c:v>
                </c:pt>
              </c:numCache>
            </c:numRef>
          </c:cat>
          <c:val>
            <c:numRef>
              <c:f>'GBP_2014_+_2017-2020'!$C$112:$G$112</c:f>
              <c:numCache>
                <c:formatCode>" "#,##0" ";"-"#,##0" ";" -"00" ";" "@" "</c:formatCode>
                <c:ptCount val="5"/>
                <c:pt idx="0">
                  <c:v>285.56367204535547</c:v>
                </c:pt>
                <c:pt idx="1">
                  <c:v>251.96171571277782</c:v>
                </c:pt>
                <c:pt idx="2">
                  <c:v>237.73843001423208</c:v>
                </c:pt>
                <c:pt idx="3">
                  <c:v>243.83493437035901</c:v>
                </c:pt>
                <c:pt idx="4">
                  <c:v>279.14981266986166</c:v>
                </c:pt>
              </c:numCache>
            </c:numRef>
          </c:val>
          <c:extLst>
            <c:ext xmlns:c16="http://schemas.microsoft.com/office/drawing/2014/chart" uri="{C3380CC4-5D6E-409C-BE32-E72D297353CC}">
              <c16:uniqueId val="{00000000-61E6-43E1-A174-912C4861292B}"/>
            </c:ext>
          </c:extLst>
        </c:ser>
        <c:ser>
          <c:idx val="1"/>
          <c:order val="1"/>
          <c:tx>
            <c:strRef>
              <c:f>'GBP_2014_+_2017-2020'!$B$113</c:f>
              <c:strCache>
                <c:ptCount val="1"/>
                <c:pt idx="0">
                  <c:v>Rest, husst.-inds.</c:v>
                </c:pt>
              </c:strCache>
            </c:strRef>
          </c:tx>
          <c:spPr>
            <a:solidFill>
              <a:srgbClr val="ED7D31"/>
            </a:solidFill>
            <a:ln>
              <a:noFill/>
            </a:ln>
          </c:spPr>
          <c:invertIfNegative val="0"/>
          <c:cat>
            <c:numRef>
              <c:f>'GBP_2014_+_2017-2020'!$C$111:$G$111</c:f>
              <c:numCache>
                <c:formatCode>General</c:formatCode>
                <c:ptCount val="5"/>
                <c:pt idx="0">
                  <c:v>2014</c:v>
                </c:pt>
                <c:pt idx="1">
                  <c:v>2017</c:v>
                </c:pt>
                <c:pt idx="2">
                  <c:v>2018</c:v>
                </c:pt>
                <c:pt idx="3">
                  <c:v>2019</c:v>
                </c:pt>
                <c:pt idx="4">
                  <c:v>2020</c:v>
                </c:pt>
              </c:numCache>
            </c:numRef>
          </c:cat>
          <c:val>
            <c:numRef>
              <c:f>'GBP_2014_+_2017-2020'!$C$113:$G$113</c:f>
              <c:numCache>
                <c:formatCode>" "#,##0" ";"-"#,##0" ";" -"00" ";" "@" "</c:formatCode>
                <c:ptCount val="5"/>
                <c:pt idx="0">
                  <c:v>525.80091583078945</c:v>
                </c:pt>
                <c:pt idx="1">
                  <c:v>511.97720621679821</c:v>
                </c:pt>
                <c:pt idx="2">
                  <c:v>469.3376086695589</c:v>
                </c:pt>
                <c:pt idx="3">
                  <c:v>264.65614188707741</c:v>
                </c:pt>
                <c:pt idx="4">
                  <c:v>283.00418384931288</c:v>
                </c:pt>
              </c:numCache>
            </c:numRef>
          </c:val>
          <c:extLst>
            <c:ext xmlns:c16="http://schemas.microsoft.com/office/drawing/2014/chart" uri="{C3380CC4-5D6E-409C-BE32-E72D297353CC}">
              <c16:uniqueId val="{00000001-61E6-43E1-A174-912C4861292B}"/>
            </c:ext>
          </c:extLst>
        </c:ser>
        <c:dLbls>
          <c:showLegendKey val="0"/>
          <c:showVal val="0"/>
          <c:showCatName val="0"/>
          <c:showSerName val="0"/>
          <c:showPercent val="0"/>
          <c:showBubbleSize val="0"/>
        </c:dLbls>
        <c:gapWidth val="219"/>
        <c:overlap val="-27"/>
        <c:axId val="458753808"/>
        <c:axId val="458754464"/>
      </c:barChart>
      <c:valAx>
        <c:axId val="458754464"/>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Kg/husstand/år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8753808"/>
        <c:crosses val="autoZero"/>
        <c:crossBetween val="between"/>
      </c:valAx>
      <c:catAx>
        <c:axId val="458753808"/>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875446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Ikke- genanvendeligt erhvervsaffald</a:t>
            </a:r>
          </a:p>
        </c:rich>
      </c:tx>
      <c:overlay val="0"/>
      <c:spPr>
        <a:noFill/>
        <a:ln>
          <a:noFill/>
        </a:ln>
      </c:spPr>
    </c:title>
    <c:autoTitleDeleted val="0"/>
    <c:plotArea>
      <c:layout/>
      <c:lineChart>
        <c:grouping val="standard"/>
        <c:varyColors val="0"/>
        <c:ser>
          <c:idx val="0"/>
          <c:order val="0"/>
          <c:tx>
            <c:strRef>
              <c:f>'Erhvervsaffald,_ej_genanv_'!$B$51</c:f>
              <c:strCache>
                <c:ptCount val="1"/>
                <c:pt idx="0">
                  <c:v>Forbrændingsegnet</c:v>
                </c:pt>
              </c:strCache>
            </c:strRef>
          </c:tx>
          <c:spPr>
            <a:ln w="28575" cap="rnd">
              <a:solidFill>
                <a:srgbClr val="4472C4"/>
              </a:solidFill>
              <a:prstDash val="solid"/>
              <a:round/>
            </a:ln>
          </c:spPr>
          <c:marker>
            <c:symbol val="none"/>
          </c:marker>
          <c:cat>
            <c:numRef>
              <c:f>'Erhvervsaffald,_ej_genanv_'!$C$50:$G$50</c:f>
              <c:numCache>
                <c:formatCode>General</c:formatCode>
                <c:ptCount val="5"/>
                <c:pt idx="0">
                  <c:v>2014</c:v>
                </c:pt>
                <c:pt idx="1">
                  <c:v>2017</c:v>
                </c:pt>
                <c:pt idx="2">
                  <c:v>2018</c:v>
                </c:pt>
                <c:pt idx="3">
                  <c:v>2019</c:v>
                </c:pt>
                <c:pt idx="4">
                  <c:v>2020</c:v>
                </c:pt>
              </c:numCache>
            </c:numRef>
          </c:cat>
          <c:val>
            <c:numRef>
              <c:f>'Erhvervsaffald,_ej_genanv_'!$C$51:$G$51</c:f>
              <c:numCache>
                <c:formatCode>" "#,##0" ";"-"#,##0" ";" -"00" ";" "@" "</c:formatCode>
                <c:ptCount val="5"/>
                <c:pt idx="0">
                  <c:v>441.78199999999993</c:v>
                </c:pt>
                <c:pt idx="1">
                  <c:v>1980.9599999999966</c:v>
                </c:pt>
                <c:pt idx="2">
                  <c:v>830.1700000000011</c:v>
                </c:pt>
                <c:pt idx="3">
                  <c:v>1566.8999999999987</c:v>
                </c:pt>
                <c:pt idx="4">
                  <c:v>978.76000000000386</c:v>
                </c:pt>
              </c:numCache>
            </c:numRef>
          </c:val>
          <c:smooth val="0"/>
          <c:extLst>
            <c:ext xmlns:c16="http://schemas.microsoft.com/office/drawing/2014/chart" uri="{C3380CC4-5D6E-409C-BE32-E72D297353CC}">
              <c16:uniqueId val="{00000000-2C6A-4359-B9DD-23A2C5652062}"/>
            </c:ext>
          </c:extLst>
        </c:ser>
        <c:ser>
          <c:idx val="1"/>
          <c:order val="1"/>
          <c:tx>
            <c:strRef>
              <c:f>'Erhvervsaffald,_ej_genanv_'!$B$52</c:f>
              <c:strCache>
                <c:ptCount val="1"/>
                <c:pt idx="0">
                  <c:v>Deponeringsegnet, i alt</c:v>
                </c:pt>
              </c:strCache>
            </c:strRef>
          </c:tx>
          <c:spPr>
            <a:ln w="28575" cap="rnd">
              <a:solidFill>
                <a:srgbClr val="ED7D31"/>
              </a:solidFill>
              <a:prstDash val="solid"/>
              <a:round/>
            </a:ln>
          </c:spPr>
          <c:marker>
            <c:symbol val="none"/>
          </c:marker>
          <c:cat>
            <c:numRef>
              <c:f>'Erhvervsaffald,_ej_genanv_'!$C$50:$G$50</c:f>
              <c:numCache>
                <c:formatCode>General</c:formatCode>
                <c:ptCount val="5"/>
                <c:pt idx="0">
                  <c:v>2014</c:v>
                </c:pt>
                <c:pt idx="1">
                  <c:v>2017</c:v>
                </c:pt>
                <c:pt idx="2">
                  <c:v>2018</c:v>
                </c:pt>
                <c:pt idx="3">
                  <c:v>2019</c:v>
                </c:pt>
                <c:pt idx="4">
                  <c:v>2020</c:v>
                </c:pt>
              </c:numCache>
            </c:numRef>
          </c:cat>
          <c:val>
            <c:numRef>
              <c:f>'Erhvervsaffald,_ej_genanv_'!$C$52:$G$52</c:f>
              <c:numCache>
                <c:formatCode>" "#,##0" ";"-"#,##0" ";" -"00" ";" "@" "</c:formatCode>
                <c:ptCount val="5"/>
                <c:pt idx="0">
                  <c:v>917.78</c:v>
                </c:pt>
                <c:pt idx="1">
                  <c:v>628.3100000000004</c:v>
                </c:pt>
                <c:pt idx="2">
                  <c:v>486.47999999999956</c:v>
                </c:pt>
                <c:pt idx="3">
                  <c:v>290.66000000000031</c:v>
                </c:pt>
                <c:pt idx="4">
                  <c:v>795.13000000000102</c:v>
                </c:pt>
              </c:numCache>
            </c:numRef>
          </c:val>
          <c:smooth val="0"/>
          <c:extLst>
            <c:ext xmlns:c16="http://schemas.microsoft.com/office/drawing/2014/chart" uri="{C3380CC4-5D6E-409C-BE32-E72D297353CC}">
              <c16:uniqueId val="{00000001-2C6A-4359-B9DD-23A2C5652062}"/>
            </c:ext>
          </c:extLst>
        </c:ser>
        <c:ser>
          <c:idx val="2"/>
          <c:order val="2"/>
          <c:tx>
            <c:strRef>
              <c:f>'Erhvervsaffald,_ej_genanv_'!$B$54</c:f>
              <c:strCache>
                <c:ptCount val="1"/>
                <c:pt idx="0">
                  <c:v>Biobrændsel</c:v>
                </c:pt>
              </c:strCache>
            </c:strRef>
          </c:tx>
          <c:spPr>
            <a:ln w="28575" cap="rnd">
              <a:solidFill>
                <a:srgbClr val="A5A5A5"/>
              </a:solidFill>
              <a:prstDash val="solid"/>
              <a:round/>
            </a:ln>
          </c:spPr>
          <c:marker>
            <c:symbol val="none"/>
          </c:marker>
          <c:cat>
            <c:numRef>
              <c:f>'Erhvervsaffald,_ej_genanv_'!$C$50:$G$50</c:f>
              <c:numCache>
                <c:formatCode>General</c:formatCode>
                <c:ptCount val="5"/>
                <c:pt idx="0">
                  <c:v>2014</c:v>
                </c:pt>
                <c:pt idx="1">
                  <c:v>2017</c:v>
                </c:pt>
                <c:pt idx="2">
                  <c:v>2018</c:v>
                </c:pt>
                <c:pt idx="3">
                  <c:v>2019</c:v>
                </c:pt>
                <c:pt idx="4">
                  <c:v>2020</c:v>
                </c:pt>
              </c:numCache>
            </c:numRef>
          </c:cat>
          <c:val>
            <c:numRef>
              <c:f>'Erhvervsaffald,_ej_genanv_'!$C$54:$G$54</c:f>
              <c:numCache>
                <c:formatCode>" "#,##0" ";"-"#,##0" ";" -"00" ";" "@" "</c:formatCode>
                <c:ptCount val="5"/>
                <c:pt idx="0">
                  <c:v>0</c:v>
                </c:pt>
                <c:pt idx="1">
                  <c:v>540.17999999999984</c:v>
                </c:pt>
                <c:pt idx="2">
                  <c:v>523.43999999999983</c:v>
                </c:pt>
                <c:pt idx="3">
                  <c:v>522.27999999999975</c:v>
                </c:pt>
                <c:pt idx="4">
                  <c:v>442.38000000000011</c:v>
                </c:pt>
              </c:numCache>
            </c:numRef>
          </c:val>
          <c:smooth val="0"/>
          <c:extLst>
            <c:ext xmlns:c16="http://schemas.microsoft.com/office/drawing/2014/chart" uri="{C3380CC4-5D6E-409C-BE32-E72D297353CC}">
              <c16:uniqueId val="{00000002-2C6A-4359-B9DD-23A2C5652062}"/>
            </c:ext>
          </c:extLst>
        </c:ser>
        <c:dLbls>
          <c:showLegendKey val="0"/>
          <c:showVal val="0"/>
          <c:showCatName val="0"/>
          <c:showSerName val="0"/>
          <c:showPercent val="0"/>
          <c:showBubbleSize val="0"/>
        </c:dLbls>
        <c:smooth val="0"/>
        <c:axId val="460462544"/>
        <c:axId val="460469760"/>
      </c:lineChart>
      <c:valAx>
        <c:axId val="460469760"/>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Ton/år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0462544"/>
        <c:crosses val="autoZero"/>
        <c:crossBetween val="between"/>
      </c:valAx>
      <c:catAx>
        <c:axId val="460462544"/>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0469760"/>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Deponeret erhvervsaffald</a:t>
            </a:r>
          </a:p>
        </c:rich>
      </c:tx>
      <c:overlay val="0"/>
      <c:spPr>
        <a:noFill/>
        <a:ln>
          <a:noFill/>
        </a:ln>
      </c:spPr>
    </c:title>
    <c:autoTitleDeleted val="0"/>
    <c:plotArea>
      <c:layout/>
      <c:lineChart>
        <c:grouping val="standard"/>
        <c:varyColors val="0"/>
        <c:ser>
          <c:idx val="0"/>
          <c:order val="0"/>
          <c:tx>
            <c:strRef>
              <c:f>'Erhvervsaffald,_ej_genanv_'!$B$52</c:f>
              <c:strCache>
                <c:ptCount val="1"/>
                <c:pt idx="0">
                  <c:v>Deponeringsegnet, i alt</c:v>
                </c:pt>
              </c:strCache>
            </c:strRef>
          </c:tx>
          <c:spPr>
            <a:ln w="28575" cap="rnd">
              <a:solidFill>
                <a:srgbClr val="4472C4"/>
              </a:solidFill>
              <a:prstDash val="solid"/>
              <a:round/>
            </a:ln>
          </c:spPr>
          <c:marker>
            <c:symbol val="none"/>
          </c:marker>
          <c:cat>
            <c:numRef>
              <c:f>'Erhvervsaffald,_ej_genanv_'!$C$50:$G$50</c:f>
              <c:numCache>
                <c:formatCode>General</c:formatCode>
                <c:ptCount val="5"/>
                <c:pt idx="0">
                  <c:v>2014</c:v>
                </c:pt>
                <c:pt idx="1">
                  <c:v>2017</c:v>
                </c:pt>
                <c:pt idx="2">
                  <c:v>2018</c:v>
                </c:pt>
                <c:pt idx="3">
                  <c:v>2019</c:v>
                </c:pt>
                <c:pt idx="4">
                  <c:v>2020</c:v>
                </c:pt>
              </c:numCache>
            </c:numRef>
          </c:cat>
          <c:val>
            <c:numRef>
              <c:f>'Erhvervsaffald,_ej_genanv_'!$C$52:$G$52</c:f>
              <c:numCache>
                <c:formatCode>" "#,##0" ";"-"#,##0" ";" -"00" ";" "@" "</c:formatCode>
                <c:ptCount val="5"/>
                <c:pt idx="0">
                  <c:v>917.78</c:v>
                </c:pt>
                <c:pt idx="1">
                  <c:v>628.3100000000004</c:v>
                </c:pt>
                <c:pt idx="2">
                  <c:v>486.47999999999956</c:v>
                </c:pt>
                <c:pt idx="3">
                  <c:v>290.66000000000031</c:v>
                </c:pt>
                <c:pt idx="4">
                  <c:v>795.13000000000102</c:v>
                </c:pt>
              </c:numCache>
            </c:numRef>
          </c:val>
          <c:smooth val="0"/>
          <c:extLst>
            <c:ext xmlns:c16="http://schemas.microsoft.com/office/drawing/2014/chart" uri="{C3380CC4-5D6E-409C-BE32-E72D297353CC}">
              <c16:uniqueId val="{00000000-D4A8-4F8C-A09E-00119B9ACB20}"/>
            </c:ext>
          </c:extLst>
        </c:ser>
        <c:ser>
          <c:idx val="1"/>
          <c:order val="1"/>
          <c:tx>
            <c:strRef>
              <c:f>'Erhvervsaffald,_ej_genanv_'!$B$57</c:f>
              <c:strCache>
                <c:ptCount val="1"/>
                <c:pt idx="0">
                  <c:v>Asbest</c:v>
                </c:pt>
              </c:strCache>
            </c:strRef>
          </c:tx>
          <c:spPr>
            <a:ln w="28575" cap="rnd">
              <a:solidFill>
                <a:srgbClr val="ED7D31"/>
              </a:solidFill>
              <a:prstDash val="solid"/>
              <a:round/>
            </a:ln>
          </c:spPr>
          <c:marker>
            <c:symbol val="none"/>
          </c:marker>
          <c:cat>
            <c:numRef>
              <c:f>'Erhvervsaffald,_ej_genanv_'!$C$50:$G$50</c:f>
              <c:numCache>
                <c:formatCode>General</c:formatCode>
                <c:ptCount val="5"/>
                <c:pt idx="0">
                  <c:v>2014</c:v>
                </c:pt>
                <c:pt idx="1">
                  <c:v>2017</c:v>
                </c:pt>
                <c:pt idx="2">
                  <c:v>2018</c:v>
                </c:pt>
                <c:pt idx="3">
                  <c:v>2019</c:v>
                </c:pt>
                <c:pt idx="4">
                  <c:v>2020</c:v>
                </c:pt>
              </c:numCache>
            </c:numRef>
          </c:cat>
          <c:val>
            <c:numRef>
              <c:f>'Erhvervsaffald,_ej_genanv_'!$C$57:$G$57</c:f>
              <c:numCache>
                <c:formatCode>" "#,##0" ";"-"#,##0" ";" -"00" ";" "@" "</c:formatCode>
                <c:ptCount val="5"/>
                <c:pt idx="0">
                  <c:v>124.6600000000002</c:v>
                </c:pt>
                <c:pt idx="1">
                  <c:v>205.26999999999998</c:v>
                </c:pt>
                <c:pt idx="2">
                  <c:v>181.82999999999981</c:v>
                </c:pt>
                <c:pt idx="3">
                  <c:v>108.5</c:v>
                </c:pt>
                <c:pt idx="4">
                  <c:v>564.020000000001</c:v>
                </c:pt>
              </c:numCache>
            </c:numRef>
          </c:val>
          <c:smooth val="0"/>
          <c:extLst>
            <c:ext xmlns:c16="http://schemas.microsoft.com/office/drawing/2014/chart" uri="{C3380CC4-5D6E-409C-BE32-E72D297353CC}">
              <c16:uniqueId val="{00000001-D4A8-4F8C-A09E-00119B9ACB20}"/>
            </c:ext>
          </c:extLst>
        </c:ser>
        <c:ser>
          <c:idx val="2"/>
          <c:order val="2"/>
          <c:tx>
            <c:strRef>
              <c:f>'Erhvervsaffald,_ej_genanv_'!$B$58</c:f>
              <c:strCache>
                <c:ptCount val="1"/>
                <c:pt idx="0">
                  <c:v>PCB-holdigt</c:v>
                </c:pt>
              </c:strCache>
            </c:strRef>
          </c:tx>
          <c:spPr>
            <a:ln w="28575" cap="rnd">
              <a:solidFill>
                <a:srgbClr val="A5A5A5"/>
              </a:solidFill>
              <a:prstDash val="solid"/>
              <a:round/>
            </a:ln>
          </c:spPr>
          <c:marker>
            <c:symbol val="none"/>
          </c:marker>
          <c:cat>
            <c:numRef>
              <c:f>'Erhvervsaffald,_ej_genanv_'!$C$50:$G$50</c:f>
              <c:numCache>
                <c:formatCode>General</c:formatCode>
                <c:ptCount val="5"/>
                <c:pt idx="0">
                  <c:v>2014</c:v>
                </c:pt>
                <c:pt idx="1">
                  <c:v>2017</c:v>
                </c:pt>
                <c:pt idx="2">
                  <c:v>2018</c:v>
                </c:pt>
                <c:pt idx="3">
                  <c:v>2019</c:v>
                </c:pt>
                <c:pt idx="4">
                  <c:v>2020</c:v>
                </c:pt>
              </c:numCache>
            </c:numRef>
          </c:cat>
          <c:val>
            <c:numRef>
              <c:f>'Erhvervsaffald,_ej_genanv_'!$C$58:$G$58</c:f>
              <c:numCache>
                <c:formatCode>" "#,##0" ";"-"#,##0" ";" -"00" ";" "@" "</c:formatCode>
                <c:ptCount val="5"/>
                <c:pt idx="0">
                  <c:v>58.37</c:v>
                </c:pt>
                <c:pt idx="1">
                  <c:v>1.17</c:v>
                </c:pt>
                <c:pt idx="2">
                  <c:v>1.47</c:v>
                </c:pt>
                <c:pt idx="3">
                  <c:v>3.11</c:v>
                </c:pt>
                <c:pt idx="4">
                  <c:v>8.379999999999999</c:v>
                </c:pt>
              </c:numCache>
            </c:numRef>
          </c:val>
          <c:smooth val="0"/>
          <c:extLst>
            <c:ext xmlns:c16="http://schemas.microsoft.com/office/drawing/2014/chart" uri="{C3380CC4-5D6E-409C-BE32-E72D297353CC}">
              <c16:uniqueId val="{00000002-D4A8-4F8C-A09E-00119B9ACB20}"/>
            </c:ext>
          </c:extLst>
        </c:ser>
        <c:dLbls>
          <c:showLegendKey val="0"/>
          <c:showVal val="0"/>
          <c:showCatName val="0"/>
          <c:showSerName val="0"/>
          <c:showPercent val="0"/>
          <c:showBubbleSize val="0"/>
        </c:dLbls>
        <c:smooth val="0"/>
        <c:axId val="460464840"/>
        <c:axId val="460466808"/>
      </c:lineChart>
      <c:valAx>
        <c:axId val="460466808"/>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Ton/år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0464840"/>
        <c:crosses val="autoZero"/>
        <c:crossBetween val="between"/>
      </c:valAx>
      <c:catAx>
        <c:axId val="460464840"/>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0466808"/>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Husstands- og kubeindsamlet, kg/husstand/år</a:t>
            </a:r>
          </a:p>
        </c:rich>
      </c:tx>
      <c:overlay val="0"/>
      <c:spPr>
        <a:noFill/>
        <a:ln>
          <a:noFill/>
        </a:ln>
      </c:spPr>
    </c:title>
    <c:autoTitleDeleted val="0"/>
    <c:plotArea>
      <c:layout/>
      <c:barChart>
        <c:barDir val="col"/>
        <c:grouping val="stacked"/>
        <c:varyColors val="0"/>
        <c:ser>
          <c:idx val="0"/>
          <c:order val="0"/>
          <c:tx>
            <c:strRef>
              <c:f>Kommunalt_affald!$A$56</c:f>
              <c:strCache>
                <c:ptCount val="1"/>
                <c:pt idx="0">
                  <c:v>Rest</c:v>
                </c:pt>
              </c:strCache>
            </c:strRef>
          </c:tx>
          <c:spPr>
            <a:solidFill>
              <a:srgbClr val="4472C4"/>
            </a:solidFill>
            <a:ln>
              <a:noFill/>
            </a:ln>
          </c:spPr>
          <c:invertIfNegative val="0"/>
          <c:cat>
            <c:numRef>
              <c:f>Kommunalt_affald!$B$2:$F$2</c:f>
              <c:numCache>
                <c:formatCode>0</c:formatCode>
                <c:ptCount val="5"/>
                <c:pt idx="0">
                  <c:v>2014</c:v>
                </c:pt>
                <c:pt idx="1">
                  <c:v>2017</c:v>
                </c:pt>
                <c:pt idx="2" formatCode="General">
                  <c:v>2018</c:v>
                </c:pt>
                <c:pt idx="3" formatCode="General">
                  <c:v>2019</c:v>
                </c:pt>
                <c:pt idx="4" formatCode="General">
                  <c:v>2020</c:v>
                </c:pt>
              </c:numCache>
            </c:numRef>
          </c:cat>
          <c:val>
            <c:numRef>
              <c:f>Kommunalt_affald!$B$56:$F$56</c:f>
              <c:numCache>
                <c:formatCode>0.0</c:formatCode>
                <c:ptCount val="5"/>
                <c:pt idx="0">
                  <c:v>525.80091583078945</c:v>
                </c:pt>
                <c:pt idx="1">
                  <c:v>511.97720621679821</c:v>
                </c:pt>
                <c:pt idx="2">
                  <c:v>469.3376086695589</c:v>
                </c:pt>
                <c:pt idx="3">
                  <c:v>264.65614188707741</c:v>
                </c:pt>
                <c:pt idx="4">
                  <c:v>283.00418384931288</c:v>
                </c:pt>
              </c:numCache>
            </c:numRef>
          </c:val>
          <c:extLst>
            <c:ext xmlns:c16="http://schemas.microsoft.com/office/drawing/2014/chart" uri="{C3380CC4-5D6E-409C-BE32-E72D297353CC}">
              <c16:uniqueId val="{00000000-751D-4CEC-9D03-97AC0252DB8D}"/>
            </c:ext>
          </c:extLst>
        </c:ser>
        <c:ser>
          <c:idx val="1"/>
          <c:order val="1"/>
          <c:tx>
            <c:strRef>
              <c:f>Kommunalt_affald!$A$57</c:f>
              <c:strCache>
                <c:ptCount val="1"/>
                <c:pt idx="0">
                  <c:v>Mad</c:v>
                </c:pt>
              </c:strCache>
            </c:strRef>
          </c:tx>
          <c:spPr>
            <a:solidFill>
              <a:srgbClr val="ED7D31"/>
            </a:solidFill>
            <a:ln>
              <a:noFill/>
            </a:ln>
          </c:spPr>
          <c:invertIfNegative val="0"/>
          <c:cat>
            <c:numRef>
              <c:f>Kommunalt_affald!$B$2:$F$2</c:f>
              <c:numCache>
                <c:formatCode>0</c:formatCode>
                <c:ptCount val="5"/>
                <c:pt idx="0">
                  <c:v>2014</c:v>
                </c:pt>
                <c:pt idx="1">
                  <c:v>2017</c:v>
                </c:pt>
                <c:pt idx="2" formatCode="General">
                  <c:v>2018</c:v>
                </c:pt>
                <c:pt idx="3" formatCode="General">
                  <c:v>2019</c:v>
                </c:pt>
                <c:pt idx="4" formatCode="General">
                  <c:v>2020</c:v>
                </c:pt>
              </c:numCache>
            </c:numRef>
          </c:cat>
          <c:val>
            <c:numRef>
              <c:f>Kommunalt_affald!$B$57:$F$57</c:f>
              <c:numCache>
                <c:formatCode>0.0</c:formatCode>
                <c:ptCount val="5"/>
                <c:pt idx="0">
                  <c:v>0</c:v>
                </c:pt>
                <c:pt idx="1">
                  <c:v>0</c:v>
                </c:pt>
                <c:pt idx="2">
                  <c:v>11.44738421440697</c:v>
                </c:pt>
                <c:pt idx="3">
                  <c:v>151.11299973387588</c:v>
                </c:pt>
                <c:pt idx="4">
                  <c:v>156.27491662308492</c:v>
                </c:pt>
              </c:numCache>
            </c:numRef>
          </c:val>
          <c:extLst>
            <c:ext xmlns:c16="http://schemas.microsoft.com/office/drawing/2014/chart" uri="{C3380CC4-5D6E-409C-BE32-E72D297353CC}">
              <c16:uniqueId val="{00000001-751D-4CEC-9D03-97AC0252DB8D}"/>
            </c:ext>
          </c:extLst>
        </c:ser>
        <c:ser>
          <c:idx val="2"/>
          <c:order val="2"/>
          <c:tx>
            <c:strRef>
              <c:f>Kommunalt_affald!$A$58</c:f>
              <c:strCache>
                <c:ptCount val="1"/>
                <c:pt idx="0">
                  <c:v>Papir</c:v>
                </c:pt>
              </c:strCache>
            </c:strRef>
          </c:tx>
          <c:spPr>
            <a:solidFill>
              <a:srgbClr val="A5A5A5"/>
            </a:solidFill>
            <a:ln>
              <a:noFill/>
            </a:ln>
          </c:spPr>
          <c:invertIfNegative val="0"/>
          <c:cat>
            <c:numRef>
              <c:f>Kommunalt_affald!$B$2:$F$2</c:f>
              <c:numCache>
                <c:formatCode>0</c:formatCode>
                <c:ptCount val="5"/>
                <c:pt idx="0">
                  <c:v>2014</c:v>
                </c:pt>
                <c:pt idx="1">
                  <c:v>2017</c:v>
                </c:pt>
                <c:pt idx="2" formatCode="General">
                  <c:v>2018</c:v>
                </c:pt>
                <c:pt idx="3" formatCode="General">
                  <c:v>2019</c:v>
                </c:pt>
                <c:pt idx="4" formatCode="General">
                  <c:v>2020</c:v>
                </c:pt>
              </c:numCache>
            </c:numRef>
          </c:cat>
          <c:val>
            <c:numRef>
              <c:f>Kommunalt_affald!$B$58:$F$58</c:f>
              <c:numCache>
                <c:formatCode>0.0</c:formatCode>
                <c:ptCount val="5"/>
                <c:pt idx="0">
                  <c:v>87.486829481029247</c:v>
                </c:pt>
                <c:pt idx="1">
                  <c:v>73.200998944414479</c:v>
                </c:pt>
                <c:pt idx="2">
                  <c:v>67.350991958023982</c:v>
                </c:pt>
                <c:pt idx="3">
                  <c:v>67.994282623812083</c:v>
                </c:pt>
                <c:pt idx="4">
                  <c:v>62.985150764324111</c:v>
                </c:pt>
              </c:numCache>
            </c:numRef>
          </c:val>
          <c:extLst>
            <c:ext xmlns:c16="http://schemas.microsoft.com/office/drawing/2014/chart" uri="{C3380CC4-5D6E-409C-BE32-E72D297353CC}">
              <c16:uniqueId val="{00000002-751D-4CEC-9D03-97AC0252DB8D}"/>
            </c:ext>
          </c:extLst>
        </c:ser>
        <c:ser>
          <c:idx val="3"/>
          <c:order val="3"/>
          <c:tx>
            <c:strRef>
              <c:f>Kommunalt_affald!$A$59</c:f>
              <c:strCache>
                <c:ptCount val="1"/>
                <c:pt idx="0">
                  <c:v>MGP</c:v>
                </c:pt>
              </c:strCache>
            </c:strRef>
          </c:tx>
          <c:spPr>
            <a:solidFill>
              <a:srgbClr val="FFC000"/>
            </a:solidFill>
            <a:ln>
              <a:noFill/>
            </a:ln>
          </c:spPr>
          <c:invertIfNegative val="0"/>
          <c:cat>
            <c:numRef>
              <c:f>Kommunalt_affald!$B$2:$F$2</c:f>
              <c:numCache>
                <c:formatCode>0</c:formatCode>
                <c:ptCount val="5"/>
                <c:pt idx="0">
                  <c:v>2014</c:v>
                </c:pt>
                <c:pt idx="1">
                  <c:v>2017</c:v>
                </c:pt>
                <c:pt idx="2" formatCode="General">
                  <c:v>2018</c:v>
                </c:pt>
                <c:pt idx="3" formatCode="General">
                  <c:v>2019</c:v>
                </c:pt>
                <c:pt idx="4" formatCode="General">
                  <c:v>2020</c:v>
                </c:pt>
              </c:numCache>
            </c:numRef>
          </c:cat>
          <c:val>
            <c:numRef>
              <c:f>Kommunalt_affald!$B$59:$F$59</c:f>
              <c:numCache>
                <c:formatCode>0.0</c:formatCode>
                <c:ptCount val="5"/>
                <c:pt idx="0">
                  <c:v>0</c:v>
                </c:pt>
                <c:pt idx="1">
                  <c:v>0.85819966873492792</c:v>
                </c:pt>
                <c:pt idx="2">
                  <c:v>5.6010905536789055</c:v>
                </c:pt>
                <c:pt idx="3">
                  <c:v>70.596203868242796</c:v>
                </c:pt>
                <c:pt idx="4">
                  <c:v>78.835123757919746</c:v>
                </c:pt>
              </c:numCache>
            </c:numRef>
          </c:val>
          <c:extLst>
            <c:ext xmlns:c16="http://schemas.microsoft.com/office/drawing/2014/chart" uri="{C3380CC4-5D6E-409C-BE32-E72D297353CC}">
              <c16:uniqueId val="{00000003-751D-4CEC-9D03-97AC0252DB8D}"/>
            </c:ext>
          </c:extLst>
        </c:ser>
        <c:ser>
          <c:idx val="4"/>
          <c:order val="4"/>
          <c:tx>
            <c:strRef>
              <c:f>Kommunalt_affald!$A$60</c:f>
              <c:strCache>
                <c:ptCount val="1"/>
                <c:pt idx="0">
                  <c:v>Glas (kuber)</c:v>
                </c:pt>
              </c:strCache>
            </c:strRef>
          </c:tx>
          <c:spPr>
            <a:solidFill>
              <a:srgbClr val="5B9BD5"/>
            </a:solidFill>
            <a:ln>
              <a:noFill/>
            </a:ln>
          </c:spPr>
          <c:invertIfNegative val="0"/>
          <c:cat>
            <c:numRef>
              <c:f>Kommunalt_affald!$B$2:$F$2</c:f>
              <c:numCache>
                <c:formatCode>0</c:formatCode>
                <c:ptCount val="5"/>
                <c:pt idx="0">
                  <c:v>2014</c:v>
                </c:pt>
                <c:pt idx="1">
                  <c:v>2017</c:v>
                </c:pt>
                <c:pt idx="2" formatCode="General">
                  <c:v>2018</c:v>
                </c:pt>
                <c:pt idx="3" formatCode="General">
                  <c:v>2019</c:v>
                </c:pt>
                <c:pt idx="4" formatCode="General">
                  <c:v>2020</c:v>
                </c:pt>
              </c:numCache>
            </c:numRef>
          </c:cat>
          <c:val>
            <c:numRef>
              <c:f>Kommunalt_affald!$B$60:$F$60</c:f>
              <c:numCache>
                <c:formatCode>0.0</c:formatCode>
                <c:ptCount val="5"/>
                <c:pt idx="0">
                  <c:v>0</c:v>
                </c:pt>
                <c:pt idx="1">
                  <c:v>24.244140641761714</c:v>
                </c:pt>
                <c:pt idx="2">
                  <c:v>29.964505564224353</c:v>
                </c:pt>
                <c:pt idx="3">
                  <c:v>5.107866113815275</c:v>
                </c:pt>
                <c:pt idx="4">
                  <c:v>0</c:v>
                </c:pt>
              </c:numCache>
            </c:numRef>
          </c:val>
          <c:extLst>
            <c:ext xmlns:c16="http://schemas.microsoft.com/office/drawing/2014/chart" uri="{C3380CC4-5D6E-409C-BE32-E72D297353CC}">
              <c16:uniqueId val="{00000004-751D-4CEC-9D03-97AC0252DB8D}"/>
            </c:ext>
          </c:extLst>
        </c:ser>
        <c:dLbls>
          <c:showLegendKey val="0"/>
          <c:showVal val="0"/>
          <c:showCatName val="0"/>
          <c:showSerName val="0"/>
          <c:showPercent val="0"/>
          <c:showBubbleSize val="0"/>
        </c:dLbls>
        <c:gapWidth val="150"/>
        <c:overlap val="100"/>
        <c:axId val="457645768"/>
        <c:axId val="457003984"/>
      </c:barChart>
      <c:valAx>
        <c:axId val="457003984"/>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Kg/husstand/år</a:t>
                </a:r>
              </a:p>
            </c:rich>
          </c:tx>
          <c:overlay val="0"/>
          <c:spPr>
            <a:noFill/>
            <a:ln>
              <a:noFill/>
            </a:ln>
          </c:spPr>
        </c:title>
        <c:numFmt formatCode="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da-DK"/>
          </a:p>
        </c:txPr>
        <c:crossAx val="457645768"/>
        <c:crosses val="autoZero"/>
        <c:crossBetween val="between"/>
      </c:valAx>
      <c:catAx>
        <c:axId val="457645768"/>
        <c:scaling>
          <c:orientation val="minMax"/>
        </c:scaling>
        <c:delete val="0"/>
        <c:axPos val="b"/>
        <c:numFmt formatCode="0"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da-DK"/>
          </a:p>
        </c:txPr>
        <c:crossAx val="45700398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Husstandsindsamlet kommunalt affald, ton/år</a:t>
            </a:r>
          </a:p>
        </c:rich>
      </c:tx>
      <c:overlay val="0"/>
      <c:spPr>
        <a:noFill/>
        <a:ln>
          <a:noFill/>
        </a:ln>
      </c:spPr>
    </c:title>
    <c:autoTitleDeleted val="0"/>
    <c:plotArea>
      <c:layout/>
      <c:barChart>
        <c:barDir val="col"/>
        <c:grouping val="stacked"/>
        <c:varyColors val="0"/>
        <c:ser>
          <c:idx val="0"/>
          <c:order val="0"/>
          <c:tx>
            <c:strRef>
              <c:f>Fremskrivning!$V$24</c:f>
              <c:strCache>
                <c:ptCount val="1"/>
                <c:pt idx="0">
                  <c:v>Reel GA</c:v>
                </c:pt>
              </c:strCache>
            </c:strRef>
          </c:tx>
          <c:spPr>
            <a:solidFill>
              <a:srgbClr val="4472C4"/>
            </a:solidFill>
            <a:ln>
              <a:noFill/>
            </a:ln>
          </c:spPr>
          <c:invertIfNegative val="0"/>
          <c:cat>
            <c:numRef>
              <c:f>Fremskrivning!$W$23:$Y$23</c:f>
              <c:numCache>
                <c:formatCode>General</c:formatCode>
                <c:ptCount val="3"/>
                <c:pt idx="0">
                  <c:v>2020</c:v>
                </c:pt>
                <c:pt idx="1">
                  <c:v>2025</c:v>
                </c:pt>
                <c:pt idx="2">
                  <c:v>2030</c:v>
                </c:pt>
              </c:numCache>
            </c:numRef>
          </c:cat>
          <c:val>
            <c:numRef>
              <c:f>Fremskrivning!$W$24:$Y$24</c:f>
              <c:numCache>
                <c:formatCode>" "#,##0" ";"-"#,##0" ";" -"00" ";" "@" "</c:formatCode>
                <c:ptCount val="3"/>
                <c:pt idx="0">
                  <c:v>5862.7717499999999</c:v>
                </c:pt>
                <c:pt idx="1">
                  <c:v>6369.4105081773705</c:v>
                </c:pt>
                <c:pt idx="2">
                  <c:v>6209.9947357991541</c:v>
                </c:pt>
              </c:numCache>
            </c:numRef>
          </c:val>
          <c:extLst>
            <c:ext xmlns:c16="http://schemas.microsoft.com/office/drawing/2014/chart" uri="{C3380CC4-5D6E-409C-BE32-E72D297353CC}">
              <c16:uniqueId val="{00000000-F093-44DA-8F55-88BD989D51F7}"/>
            </c:ext>
          </c:extLst>
        </c:ser>
        <c:ser>
          <c:idx val="1"/>
          <c:order val="1"/>
          <c:tx>
            <c:strRef>
              <c:f>Fremskrivning!$V$25</c:f>
              <c:strCache>
                <c:ptCount val="1"/>
                <c:pt idx="0">
                  <c:v>Øvrigt</c:v>
                </c:pt>
              </c:strCache>
            </c:strRef>
          </c:tx>
          <c:spPr>
            <a:solidFill>
              <a:srgbClr val="ED7D31"/>
            </a:solidFill>
            <a:ln>
              <a:noFill/>
            </a:ln>
          </c:spPr>
          <c:invertIfNegative val="0"/>
          <c:cat>
            <c:numRef>
              <c:f>Fremskrivning!$W$23:$Y$23</c:f>
              <c:numCache>
                <c:formatCode>General</c:formatCode>
                <c:ptCount val="3"/>
                <c:pt idx="0">
                  <c:v>2020</c:v>
                </c:pt>
                <c:pt idx="1">
                  <c:v>2025</c:v>
                </c:pt>
                <c:pt idx="2">
                  <c:v>2030</c:v>
                </c:pt>
              </c:numCache>
            </c:numRef>
          </c:cat>
          <c:val>
            <c:numRef>
              <c:f>Fremskrivning!$W$25:$Y$25</c:f>
              <c:numCache>
                <c:formatCode>" "#,##0" ";"-"#,##0" ";" -"00" ";" "@" "</c:formatCode>
                <c:ptCount val="3"/>
                <c:pt idx="0">
                  <c:v>9872.3782500000052</c:v>
                </c:pt>
                <c:pt idx="1">
                  <c:v>9011.0200223266056</c:v>
                </c:pt>
                <c:pt idx="2">
                  <c:v>8797.4510399448482</c:v>
                </c:pt>
              </c:numCache>
            </c:numRef>
          </c:val>
          <c:extLst>
            <c:ext xmlns:c16="http://schemas.microsoft.com/office/drawing/2014/chart" uri="{C3380CC4-5D6E-409C-BE32-E72D297353CC}">
              <c16:uniqueId val="{00000001-F093-44DA-8F55-88BD989D51F7}"/>
            </c:ext>
          </c:extLst>
        </c:ser>
        <c:dLbls>
          <c:showLegendKey val="0"/>
          <c:showVal val="0"/>
          <c:showCatName val="0"/>
          <c:showSerName val="0"/>
          <c:showPercent val="0"/>
          <c:showBubbleSize val="0"/>
        </c:dLbls>
        <c:gapWidth val="150"/>
        <c:overlap val="100"/>
        <c:axId val="458761352"/>
        <c:axId val="458760040"/>
      </c:barChart>
      <c:valAx>
        <c:axId val="458760040"/>
        <c:scaling>
          <c:orientation val="minMax"/>
        </c:scaling>
        <c:delete val="0"/>
        <c:axPos val="l"/>
        <c:majorGridlines>
          <c:spPr>
            <a:ln w="9528" cap="flat">
              <a:solidFill>
                <a:srgbClr val="D9D9D9"/>
              </a:solidFill>
              <a:prstDash val="solid"/>
              <a:round/>
            </a:ln>
          </c:spPr>
        </c:majorGridlines>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8761352"/>
        <c:crosses val="autoZero"/>
        <c:crossBetween val="between"/>
      </c:valAx>
      <c:catAx>
        <c:axId val="458761352"/>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8760040"/>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Samlede anvisningspligtige mængder, fordelt på behandlingsform, t/år</a:t>
            </a:r>
          </a:p>
        </c:rich>
      </c:tx>
      <c:overlay val="0"/>
      <c:spPr>
        <a:noFill/>
        <a:ln>
          <a:noFill/>
        </a:ln>
      </c:spPr>
    </c:title>
    <c:autoTitleDeleted val="0"/>
    <c:plotArea>
      <c:layout/>
      <c:barChart>
        <c:barDir val="col"/>
        <c:grouping val="stacked"/>
        <c:varyColors val="0"/>
        <c:ser>
          <c:idx val="0"/>
          <c:order val="0"/>
          <c:tx>
            <c:strRef>
              <c:f>Fremskrivning!$B$109</c:f>
              <c:strCache>
                <c:ptCount val="1"/>
                <c:pt idx="0">
                  <c:v>Genanvendelse</c:v>
                </c:pt>
              </c:strCache>
            </c:strRef>
          </c:tx>
          <c:spPr>
            <a:solidFill>
              <a:srgbClr val="4472C4"/>
            </a:solidFill>
            <a:ln>
              <a:noFill/>
            </a:ln>
          </c:spPr>
          <c:invertIfNegative val="0"/>
          <c:cat>
            <c:numRef>
              <c:f>Fremskrivning!$C$108:$E$108</c:f>
              <c:numCache>
                <c:formatCode>General</c:formatCode>
                <c:ptCount val="3"/>
                <c:pt idx="0">
                  <c:v>2020</c:v>
                </c:pt>
                <c:pt idx="1">
                  <c:v>2025</c:v>
                </c:pt>
                <c:pt idx="2">
                  <c:v>2030</c:v>
                </c:pt>
              </c:numCache>
            </c:numRef>
          </c:cat>
          <c:val>
            <c:numRef>
              <c:f>Fremskrivning!$C$109:$E$109</c:f>
              <c:numCache>
                <c:formatCode>" "#,##0" ";"-"#,##0" ";" -"00" ";" "@" "</c:formatCode>
                <c:ptCount val="3"/>
                <c:pt idx="0">
                  <c:v>33331.196000000011</c:v>
                </c:pt>
                <c:pt idx="1">
                  <c:v>35409.882315173483</c:v>
                </c:pt>
                <c:pt idx="2">
                  <c:v>35968.798966934773</c:v>
                </c:pt>
              </c:numCache>
            </c:numRef>
          </c:val>
          <c:extLst>
            <c:ext xmlns:c16="http://schemas.microsoft.com/office/drawing/2014/chart" uri="{C3380CC4-5D6E-409C-BE32-E72D297353CC}">
              <c16:uniqueId val="{00000000-2652-49BA-8989-6D2B6DE9ECC7}"/>
            </c:ext>
          </c:extLst>
        </c:ser>
        <c:ser>
          <c:idx val="1"/>
          <c:order val="1"/>
          <c:tx>
            <c:strRef>
              <c:f>Fremskrivning!$B$110</c:f>
              <c:strCache>
                <c:ptCount val="1"/>
                <c:pt idx="0">
                  <c:v>Forbrænding</c:v>
                </c:pt>
              </c:strCache>
            </c:strRef>
          </c:tx>
          <c:spPr>
            <a:solidFill>
              <a:srgbClr val="ED7D31"/>
            </a:solidFill>
            <a:ln>
              <a:noFill/>
            </a:ln>
          </c:spPr>
          <c:invertIfNegative val="0"/>
          <c:cat>
            <c:numRef>
              <c:f>Fremskrivning!$C$108:$E$108</c:f>
              <c:numCache>
                <c:formatCode>General</c:formatCode>
                <c:ptCount val="3"/>
                <c:pt idx="0">
                  <c:v>2020</c:v>
                </c:pt>
                <c:pt idx="1">
                  <c:v>2025</c:v>
                </c:pt>
                <c:pt idx="2">
                  <c:v>2030</c:v>
                </c:pt>
              </c:numCache>
            </c:numRef>
          </c:cat>
          <c:val>
            <c:numRef>
              <c:f>Fremskrivning!$C$110:$E$110</c:f>
              <c:numCache>
                <c:formatCode>" "#,##0" ";"-"#,##0" ";" -"00" ";" "@" "</c:formatCode>
                <c:ptCount val="3"/>
                <c:pt idx="0">
                  <c:v>16898.241000000005</c:v>
                </c:pt>
                <c:pt idx="1">
                  <c:v>15139.236471626278</c:v>
                </c:pt>
                <c:pt idx="2">
                  <c:v>15089.205230927935</c:v>
                </c:pt>
              </c:numCache>
            </c:numRef>
          </c:val>
          <c:extLst>
            <c:ext xmlns:c16="http://schemas.microsoft.com/office/drawing/2014/chart" uri="{C3380CC4-5D6E-409C-BE32-E72D297353CC}">
              <c16:uniqueId val="{00000001-2652-49BA-8989-6D2B6DE9ECC7}"/>
            </c:ext>
          </c:extLst>
        </c:ser>
        <c:ser>
          <c:idx val="2"/>
          <c:order val="2"/>
          <c:tx>
            <c:strRef>
              <c:f>Fremskrivning!$B$111</c:f>
              <c:strCache>
                <c:ptCount val="1"/>
                <c:pt idx="0">
                  <c:v>Deponering</c:v>
                </c:pt>
              </c:strCache>
            </c:strRef>
          </c:tx>
          <c:spPr>
            <a:solidFill>
              <a:srgbClr val="A5A5A5"/>
            </a:solidFill>
            <a:ln>
              <a:noFill/>
            </a:ln>
          </c:spPr>
          <c:invertIfNegative val="0"/>
          <c:cat>
            <c:numRef>
              <c:f>Fremskrivning!$C$108:$E$108</c:f>
              <c:numCache>
                <c:formatCode>General</c:formatCode>
                <c:ptCount val="3"/>
                <c:pt idx="0">
                  <c:v>2020</c:v>
                </c:pt>
                <c:pt idx="1">
                  <c:v>2025</c:v>
                </c:pt>
                <c:pt idx="2">
                  <c:v>2030</c:v>
                </c:pt>
              </c:numCache>
            </c:numRef>
          </c:cat>
          <c:val>
            <c:numRef>
              <c:f>Fremskrivning!$C$111:$E$111</c:f>
              <c:numCache>
                <c:formatCode>" "#,##0" ";"-"#,##0" ";" -"00" ";" "@" "</c:formatCode>
                <c:ptCount val="3"/>
                <c:pt idx="0">
                  <c:v>1964.930000000001</c:v>
                </c:pt>
                <c:pt idx="1">
                  <c:v>2015.4687563336456</c:v>
                </c:pt>
                <c:pt idx="2">
                  <c:v>2066.0075126672905</c:v>
                </c:pt>
              </c:numCache>
            </c:numRef>
          </c:val>
          <c:extLst>
            <c:ext xmlns:c16="http://schemas.microsoft.com/office/drawing/2014/chart" uri="{C3380CC4-5D6E-409C-BE32-E72D297353CC}">
              <c16:uniqueId val="{00000002-2652-49BA-8989-6D2B6DE9ECC7}"/>
            </c:ext>
          </c:extLst>
        </c:ser>
        <c:ser>
          <c:idx val="3"/>
          <c:order val="3"/>
          <c:tx>
            <c:strRef>
              <c:f>Fremskrivning!$B$112</c:f>
              <c:strCache>
                <c:ptCount val="1"/>
                <c:pt idx="0">
                  <c:v>Særlig behanling</c:v>
                </c:pt>
              </c:strCache>
            </c:strRef>
          </c:tx>
          <c:spPr>
            <a:solidFill>
              <a:srgbClr val="FFC000"/>
            </a:solidFill>
            <a:ln>
              <a:noFill/>
            </a:ln>
          </c:spPr>
          <c:invertIfNegative val="0"/>
          <c:cat>
            <c:numRef>
              <c:f>Fremskrivning!$C$108:$E$108</c:f>
              <c:numCache>
                <c:formatCode>General</c:formatCode>
                <c:ptCount val="3"/>
                <c:pt idx="0">
                  <c:v>2020</c:v>
                </c:pt>
                <c:pt idx="1">
                  <c:v>2025</c:v>
                </c:pt>
                <c:pt idx="2">
                  <c:v>2030</c:v>
                </c:pt>
              </c:numCache>
            </c:numRef>
          </c:cat>
          <c:val>
            <c:numRef>
              <c:f>Fremskrivning!$C$112:$E$112</c:f>
              <c:numCache>
                <c:formatCode>" "#,##0" ";"-"#,##0" ";" -"00" ";" "@" "</c:formatCode>
                <c:ptCount val="3"/>
                <c:pt idx="0">
                  <c:v>164.589</c:v>
                </c:pt>
                <c:pt idx="1">
                  <c:v>191.87189839503441</c:v>
                </c:pt>
                <c:pt idx="2">
                  <c:v>196.68316976294204</c:v>
                </c:pt>
              </c:numCache>
            </c:numRef>
          </c:val>
          <c:extLst>
            <c:ext xmlns:c16="http://schemas.microsoft.com/office/drawing/2014/chart" uri="{C3380CC4-5D6E-409C-BE32-E72D297353CC}">
              <c16:uniqueId val="{00000003-2652-49BA-8989-6D2B6DE9ECC7}"/>
            </c:ext>
          </c:extLst>
        </c:ser>
        <c:dLbls>
          <c:showLegendKey val="0"/>
          <c:showVal val="0"/>
          <c:showCatName val="0"/>
          <c:showSerName val="0"/>
          <c:showPercent val="0"/>
          <c:showBubbleSize val="0"/>
        </c:dLbls>
        <c:gapWidth val="219"/>
        <c:overlap val="100"/>
        <c:axId val="461048056"/>
        <c:axId val="461047400"/>
      </c:barChart>
      <c:valAx>
        <c:axId val="461047400"/>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ton/år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1048056"/>
        <c:crosses val="autoZero"/>
        <c:crossBetween val="between"/>
      </c:valAx>
      <c:catAx>
        <c:axId val="461048056"/>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1047400"/>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Samlede anvisningspligtige mængder, fordelt på kilder, t/år</a:t>
            </a:r>
          </a:p>
        </c:rich>
      </c:tx>
      <c:overlay val="0"/>
      <c:spPr>
        <a:noFill/>
        <a:ln>
          <a:noFill/>
        </a:ln>
      </c:spPr>
    </c:title>
    <c:autoTitleDeleted val="0"/>
    <c:plotArea>
      <c:layout/>
      <c:barChart>
        <c:barDir val="col"/>
        <c:grouping val="stacked"/>
        <c:varyColors val="0"/>
        <c:ser>
          <c:idx val="0"/>
          <c:order val="0"/>
          <c:tx>
            <c:strRef>
              <c:f>Fremskrivning!$B$124</c:f>
              <c:strCache>
                <c:ptCount val="1"/>
                <c:pt idx="0">
                  <c:v>Husstandsindsamlet</c:v>
                </c:pt>
              </c:strCache>
            </c:strRef>
          </c:tx>
          <c:spPr>
            <a:solidFill>
              <a:srgbClr val="4472C4"/>
            </a:solidFill>
            <a:ln>
              <a:noFill/>
            </a:ln>
          </c:spPr>
          <c:invertIfNegative val="0"/>
          <c:cat>
            <c:numRef>
              <c:f>Fremskrivning!$C$123:$E$123</c:f>
              <c:numCache>
                <c:formatCode>General</c:formatCode>
                <c:ptCount val="3"/>
                <c:pt idx="0">
                  <c:v>2020</c:v>
                </c:pt>
                <c:pt idx="1">
                  <c:v>2025</c:v>
                </c:pt>
                <c:pt idx="2">
                  <c:v>2030</c:v>
                </c:pt>
              </c:numCache>
            </c:numRef>
          </c:cat>
          <c:val>
            <c:numRef>
              <c:f>Fremskrivning!$C$124:$E$124</c:f>
              <c:numCache>
                <c:formatCode>" "#,##0" ";"-"#,##0" ";" -"00" ";" "@" "</c:formatCode>
                <c:ptCount val="3"/>
                <c:pt idx="0">
                  <c:v>15735.150000000005</c:v>
                </c:pt>
                <c:pt idx="1">
                  <c:v>15380.430530503976</c:v>
                </c:pt>
                <c:pt idx="2">
                  <c:v>15007.445775744001</c:v>
                </c:pt>
              </c:numCache>
            </c:numRef>
          </c:val>
          <c:extLst>
            <c:ext xmlns:c16="http://schemas.microsoft.com/office/drawing/2014/chart" uri="{C3380CC4-5D6E-409C-BE32-E72D297353CC}">
              <c16:uniqueId val="{00000000-6B74-4CC8-9990-5CEA1396DECA}"/>
            </c:ext>
          </c:extLst>
        </c:ser>
        <c:ser>
          <c:idx val="1"/>
          <c:order val="1"/>
          <c:tx>
            <c:strRef>
              <c:f>Fremskrivning!$B$125</c:f>
              <c:strCache>
                <c:ptCount val="1"/>
                <c:pt idx="0">
                  <c:v>Kommunalt, GBP</c:v>
                </c:pt>
              </c:strCache>
            </c:strRef>
          </c:tx>
          <c:spPr>
            <a:solidFill>
              <a:srgbClr val="ED7D31"/>
            </a:solidFill>
            <a:ln>
              <a:noFill/>
            </a:ln>
          </c:spPr>
          <c:invertIfNegative val="0"/>
          <c:cat>
            <c:numRef>
              <c:f>Fremskrivning!$C$123:$E$123</c:f>
              <c:numCache>
                <c:formatCode>General</c:formatCode>
                <c:ptCount val="3"/>
                <c:pt idx="0">
                  <c:v>2020</c:v>
                </c:pt>
                <c:pt idx="1">
                  <c:v>2025</c:v>
                </c:pt>
                <c:pt idx="2">
                  <c:v>2030</c:v>
                </c:pt>
              </c:numCache>
            </c:numRef>
          </c:cat>
          <c:val>
            <c:numRef>
              <c:f>Fremskrivning!$C$125:$E$125</c:f>
              <c:numCache>
                <c:formatCode>" "#,##0" ";"-"#,##0" ";" -"00" ";" "@" "</c:formatCode>
                <c:ptCount val="3"/>
                <c:pt idx="0">
                  <c:v>23727.404999999999</c:v>
                </c:pt>
                <c:pt idx="1">
                  <c:v>24147.927510643804</c:v>
                </c:pt>
                <c:pt idx="2">
                  <c:v>24753.447303787605</c:v>
                </c:pt>
              </c:numCache>
            </c:numRef>
          </c:val>
          <c:extLst>
            <c:ext xmlns:c16="http://schemas.microsoft.com/office/drawing/2014/chart" uri="{C3380CC4-5D6E-409C-BE32-E72D297353CC}">
              <c16:uniqueId val="{00000001-6B74-4CC8-9990-5CEA1396DECA}"/>
            </c:ext>
          </c:extLst>
        </c:ser>
        <c:ser>
          <c:idx val="2"/>
          <c:order val="2"/>
          <c:tx>
            <c:strRef>
              <c:f>Fremskrivning!$B$126</c:f>
              <c:strCache>
                <c:ptCount val="1"/>
                <c:pt idx="0">
                  <c:v>Bygge- &amp; anlægsaff., GBP</c:v>
                </c:pt>
              </c:strCache>
            </c:strRef>
          </c:tx>
          <c:spPr>
            <a:solidFill>
              <a:srgbClr val="A5A5A5"/>
            </a:solidFill>
            <a:ln>
              <a:noFill/>
            </a:ln>
          </c:spPr>
          <c:invertIfNegative val="0"/>
          <c:cat>
            <c:numRef>
              <c:f>Fremskrivning!$C$123:$E$123</c:f>
              <c:numCache>
                <c:formatCode>General</c:formatCode>
                <c:ptCount val="3"/>
                <c:pt idx="0">
                  <c:v>2020</c:v>
                </c:pt>
                <c:pt idx="1">
                  <c:v>2025</c:v>
                </c:pt>
                <c:pt idx="2">
                  <c:v>2030</c:v>
                </c:pt>
              </c:numCache>
            </c:numRef>
          </c:cat>
          <c:val>
            <c:numRef>
              <c:f>Fremskrivning!$C$126:$E$126</c:f>
              <c:numCache>
                <c:formatCode>" "#,##0" ";"-"#,##0" ";" -"00" ";" "@" "</c:formatCode>
                <c:ptCount val="3"/>
                <c:pt idx="0">
                  <c:v>10680.131000000001</c:v>
                </c:pt>
                <c:pt idx="1">
                  <c:v>10954.828082450982</c:v>
                </c:pt>
                <c:pt idx="2">
                  <c:v>11229.525164901965</c:v>
                </c:pt>
              </c:numCache>
            </c:numRef>
          </c:val>
          <c:extLst>
            <c:ext xmlns:c16="http://schemas.microsoft.com/office/drawing/2014/chart" uri="{C3380CC4-5D6E-409C-BE32-E72D297353CC}">
              <c16:uniqueId val="{00000002-6B74-4CC8-9990-5CEA1396DECA}"/>
            </c:ext>
          </c:extLst>
        </c:ser>
        <c:ser>
          <c:idx val="3"/>
          <c:order val="3"/>
          <c:tx>
            <c:strRef>
              <c:f>Fremskrivning!$B$127</c:f>
              <c:strCache>
                <c:ptCount val="1"/>
                <c:pt idx="0">
                  <c:v>Erhverv, ikke genanv.</c:v>
                </c:pt>
              </c:strCache>
            </c:strRef>
          </c:tx>
          <c:spPr>
            <a:solidFill>
              <a:srgbClr val="FFC000"/>
            </a:solidFill>
            <a:ln>
              <a:noFill/>
            </a:ln>
          </c:spPr>
          <c:invertIfNegative val="0"/>
          <c:cat>
            <c:numRef>
              <c:f>Fremskrivning!$C$123:$E$123</c:f>
              <c:numCache>
                <c:formatCode>General</c:formatCode>
                <c:ptCount val="3"/>
                <c:pt idx="0">
                  <c:v>2020</c:v>
                </c:pt>
                <c:pt idx="1">
                  <c:v>2025</c:v>
                </c:pt>
                <c:pt idx="2">
                  <c:v>2030</c:v>
                </c:pt>
              </c:numCache>
            </c:numRef>
          </c:cat>
          <c:val>
            <c:numRef>
              <c:f>Fremskrivning!$C$127:$E$127</c:f>
              <c:numCache>
                <c:formatCode>" "#,##0" ";"-"#,##0" ";" -"00" ";" "@" "</c:formatCode>
                <c:ptCount val="3"/>
                <c:pt idx="0">
                  <c:v>2216.270000000005</c:v>
                </c:pt>
                <c:pt idx="1">
                  <c:v>2273.2733179296856</c:v>
                </c:pt>
                <c:pt idx="2">
                  <c:v>2330.2766358593663</c:v>
                </c:pt>
              </c:numCache>
            </c:numRef>
          </c:val>
          <c:extLst>
            <c:ext xmlns:c16="http://schemas.microsoft.com/office/drawing/2014/chart" uri="{C3380CC4-5D6E-409C-BE32-E72D297353CC}">
              <c16:uniqueId val="{00000003-6B74-4CC8-9990-5CEA1396DECA}"/>
            </c:ext>
          </c:extLst>
        </c:ser>
        <c:dLbls>
          <c:showLegendKey val="0"/>
          <c:showVal val="0"/>
          <c:showCatName val="0"/>
          <c:showSerName val="0"/>
          <c:showPercent val="0"/>
          <c:showBubbleSize val="0"/>
        </c:dLbls>
        <c:gapWidth val="150"/>
        <c:overlap val="100"/>
        <c:axId val="461043136"/>
        <c:axId val="461050680"/>
      </c:barChart>
      <c:valAx>
        <c:axId val="461050680"/>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ton/år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1043136"/>
        <c:crosses val="autoZero"/>
        <c:crossBetween val="between"/>
      </c:valAx>
      <c:catAx>
        <c:axId val="461043136"/>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1050680"/>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CO2-fortrængning, ton/år</a:t>
            </a:r>
          </a:p>
        </c:rich>
      </c:tx>
      <c:overlay val="0"/>
      <c:spPr>
        <a:noFill/>
        <a:ln>
          <a:noFill/>
        </a:ln>
      </c:spPr>
    </c:title>
    <c:autoTitleDeleted val="0"/>
    <c:plotArea>
      <c:layout/>
      <c:barChart>
        <c:barDir val="col"/>
        <c:grouping val="stacked"/>
        <c:varyColors val="0"/>
        <c:ser>
          <c:idx val="0"/>
          <c:order val="0"/>
          <c:tx>
            <c:strRef>
              <c:f>'Klimaeffekter,_bagud'!$A$88</c:f>
              <c:strCache>
                <c:ptCount val="1"/>
                <c:pt idx="0">
                  <c:v>Husstandsinds.</c:v>
                </c:pt>
              </c:strCache>
            </c:strRef>
          </c:tx>
          <c:spPr>
            <a:solidFill>
              <a:srgbClr val="4472C4"/>
            </a:solidFill>
            <a:ln>
              <a:noFill/>
            </a:ln>
          </c:spPr>
          <c:invertIfNegative val="0"/>
          <c:cat>
            <c:numRef>
              <c:f>'Klimaeffekter,_bagud'!$B$87:$F$87</c:f>
              <c:numCache>
                <c:formatCode>General</c:formatCode>
                <c:ptCount val="5"/>
                <c:pt idx="0">
                  <c:v>2014</c:v>
                </c:pt>
                <c:pt idx="1">
                  <c:v>2017</c:v>
                </c:pt>
                <c:pt idx="2">
                  <c:v>2018</c:v>
                </c:pt>
                <c:pt idx="3">
                  <c:v>2019</c:v>
                </c:pt>
                <c:pt idx="4">
                  <c:v>2020</c:v>
                </c:pt>
              </c:numCache>
            </c:numRef>
          </c:cat>
          <c:val>
            <c:numRef>
              <c:f>'Klimaeffekter,_bagud'!$B$88:$F$88</c:f>
              <c:numCache>
                <c:formatCode>" "#,##0" ";"-"#,##0" ";" -"00" ";" "@" "</c:formatCode>
                <c:ptCount val="5"/>
                <c:pt idx="0">
                  <c:v>3113.4252960000013</c:v>
                </c:pt>
                <c:pt idx="1">
                  <c:v>2824.9969000000024</c:v>
                </c:pt>
                <c:pt idx="2">
                  <c:v>2758.3786529800004</c:v>
                </c:pt>
                <c:pt idx="3">
                  <c:v>3999.9863047239996</c:v>
                </c:pt>
                <c:pt idx="4">
                  <c:v>3940.9288996500004</c:v>
                </c:pt>
              </c:numCache>
            </c:numRef>
          </c:val>
          <c:extLst>
            <c:ext xmlns:c16="http://schemas.microsoft.com/office/drawing/2014/chart" uri="{C3380CC4-5D6E-409C-BE32-E72D297353CC}">
              <c16:uniqueId val="{00000000-A854-4C78-92DD-535C9EF00E28}"/>
            </c:ext>
          </c:extLst>
        </c:ser>
        <c:ser>
          <c:idx val="1"/>
          <c:order val="1"/>
          <c:tx>
            <c:strRef>
              <c:f>'Klimaeffekter,_bagud'!$A$89</c:f>
              <c:strCache>
                <c:ptCount val="1"/>
                <c:pt idx="0">
                  <c:v>Kommunalt, GBP</c:v>
                </c:pt>
              </c:strCache>
            </c:strRef>
          </c:tx>
          <c:spPr>
            <a:solidFill>
              <a:srgbClr val="ED7D31"/>
            </a:solidFill>
            <a:ln>
              <a:noFill/>
            </a:ln>
          </c:spPr>
          <c:invertIfNegative val="0"/>
          <c:cat>
            <c:numRef>
              <c:f>'Klimaeffekter,_bagud'!$B$87:$F$87</c:f>
              <c:numCache>
                <c:formatCode>General</c:formatCode>
                <c:ptCount val="5"/>
                <c:pt idx="0">
                  <c:v>2014</c:v>
                </c:pt>
                <c:pt idx="1">
                  <c:v>2017</c:v>
                </c:pt>
                <c:pt idx="2">
                  <c:v>2018</c:v>
                </c:pt>
                <c:pt idx="3">
                  <c:v>2019</c:v>
                </c:pt>
                <c:pt idx="4">
                  <c:v>2020</c:v>
                </c:pt>
              </c:numCache>
            </c:numRef>
          </c:cat>
          <c:val>
            <c:numRef>
              <c:f>'Klimaeffekter,_bagud'!$B$89:$F$89</c:f>
              <c:numCache>
                <c:formatCode>" "#,##0" ";"-"#,##0" ";" -"00" ";" "@" "</c:formatCode>
                <c:ptCount val="5"/>
                <c:pt idx="0">
                  <c:v>7542.7651722204782</c:v>
                </c:pt>
                <c:pt idx="1">
                  <c:v>8604.4422317871613</c:v>
                </c:pt>
                <c:pt idx="2">
                  <c:v>8689.1191461553317</c:v>
                </c:pt>
                <c:pt idx="3">
                  <c:v>7968.5439195933159</c:v>
                </c:pt>
                <c:pt idx="4">
                  <c:v>10041.658976685996</c:v>
                </c:pt>
              </c:numCache>
            </c:numRef>
          </c:val>
          <c:extLst>
            <c:ext xmlns:c16="http://schemas.microsoft.com/office/drawing/2014/chart" uri="{C3380CC4-5D6E-409C-BE32-E72D297353CC}">
              <c16:uniqueId val="{00000001-A854-4C78-92DD-535C9EF00E28}"/>
            </c:ext>
          </c:extLst>
        </c:ser>
        <c:ser>
          <c:idx val="2"/>
          <c:order val="2"/>
          <c:tx>
            <c:strRef>
              <c:f>'Klimaeffekter,_bagud'!$A$90</c:f>
              <c:strCache>
                <c:ptCount val="1"/>
                <c:pt idx="0">
                  <c:v>Bygge- &amp; Anlæg, GBP</c:v>
                </c:pt>
              </c:strCache>
            </c:strRef>
          </c:tx>
          <c:spPr>
            <a:solidFill>
              <a:srgbClr val="A5A5A5"/>
            </a:solidFill>
            <a:ln>
              <a:noFill/>
            </a:ln>
          </c:spPr>
          <c:invertIfNegative val="0"/>
          <c:cat>
            <c:numRef>
              <c:f>'Klimaeffekter,_bagud'!$B$87:$F$87</c:f>
              <c:numCache>
                <c:formatCode>General</c:formatCode>
                <c:ptCount val="5"/>
                <c:pt idx="0">
                  <c:v>2014</c:v>
                </c:pt>
                <c:pt idx="1">
                  <c:v>2017</c:v>
                </c:pt>
                <c:pt idx="2">
                  <c:v>2018</c:v>
                </c:pt>
                <c:pt idx="3">
                  <c:v>2019</c:v>
                </c:pt>
                <c:pt idx="4">
                  <c:v>2020</c:v>
                </c:pt>
              </c:numCache>
            </c:numRef>
          </c:cat>
          <c:val>
            <c:numRef>
              <c:f>'Klimaeffekter,_bagud'!$B$90:$F$90</c:f>
              <c:numCache>
                <c:formatCode>" "#,##0.0" ";"-"#,##0.0" ";" -"00.0" ";" "@" "</c:formatCode>
                <c:ptCount val="5"/>
                <c:pt idx="0">
                  <c:v>79.04528999999998</c:v>
                </c:pt>
                <c:pt idx="1">
                  <c:v>97.115471999999983</c:v>
                </c:pt>
                <c:pt idx="2">
                  <c:v>76.941579900000008</c:v>
                </c:pt>
                <c:pt idx="3">
                  <c:v>68.599864500000024</c:v>
                </c:pt>
                <c:pt idx="4">
                  <c:v>99.339455100000038</c:v>
                </c:pt>
              </c:numCache>
            </c:numRef>
          </c:val>
          <c:extLst>
            <c:ext xmlns:c16="http://schemas.microsoft.com/office/drawing/2014/chart" uri="{C3380CC4-5D6E-409C-BE32-E72D297353CC}">
              <c16:uniqueId val="{00000002-A854-4C78-92DD-535C9EF00E28}"/>
            </c:ext>
          </c:extLst>
        </c:ser>
        <c:dLbls>
          <c:showLegendKey val="0"/>
          <c:showVal val="0"/>
          <c:showCatName val="0"/>
          <c:showSerName val="0"/>
          <c:showPercent val="0"/>
          <c:showBubbleSize val="0"/>
        </c:dLbls>
        <c:gapWidth val="150"/>
        <c:overlap val="100"/>
        <c:axId val="461058224"/>
        <c:axId val="461061504"/>
      </c:barChart>
      <c:valAx>
        <c:axId val="461061504"/>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Ton CO2/år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1058224"/>
        <c:crosses val="autoZero"/>
        <c:crossBetween val="between"/>
      </c:valAx>
      <c:catAx>
        <c:axId val="461058224"/>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106150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CO2-fortrængning, kg/hs/år</a:t>
            </a:r>
          </a:p>
        </c:rich>
      </c:tx>
      <c:overlay val="0"/>
      <c:spPr>
        <a:noFill/>
        <a:ln>
          <a:noFill/>
        </a:ln>
      </c:spPr>
    </c:title>
    <c:autoTitleDeleted val="0"/>
    <c:plotArea>
      <c:layout/>
      <c:barChart>
        <c:barDir val="col"/>
        <c:grouping val="stacked"/>
        <c:varyColors val="0"/>
        <c:ser>
          <c:idx val="0"/>
          <c:order val="0"/>
          <c:tx>
            <c:strRef>
              <c:f>'Klimaeffekter,_bagud'!$A$100</c:f>
              <c:strCache>
                <c:ptCount val="1"/>
                <c:pt idx="0">
                  <c:v>Husstandsinds.</c:v>
                </c:pt>
              </c:strCache>
            </c:strRef>
          </c:tx>
          <c:spPr>
            <a:solidFill>
              <a:srgbClr val="4472C4"/>
            </a:solidFill>
            <a:ln>
              <a:noFill/>
            </a:ln>
          </c:spPr>
          <c:invertIfNegative val="0"/>
          <c:cat>
            <c:numRef>
              <c:f>'Klimaeffekter,_bagud'!$B$99:$F$99</c:f>
              <c:numCache>
                <c:formatCode>General</c:formatCode>
                <c:ptCount val="5"/>
                <c:pt idx="0">
                  <c:v>2014</c:v>
                </c:pt>
                <c:pt idx="1">
                  <c:v>2017</c:v>
                </c:pt>
                <c:pt idx="2">
                  <c:v>2018</c:v>
                </c:pt>
                <c:pt idx="3">
                  <c:v>2019</c:v>
                </c:pt>
                <c:pt idx="4">
                  <c:v>2020</c:v>
                </c:pt>
              </c:numCache>
            </c:numRef>
          </c:cat>
          <c:val>
            <c:numRef>
              <c:f>'Klimaeffekter,_bagud'!$B$100:$F$100</c:f>
              <c:numCache>
                <c:formatCode>" "#,##0" ";"-"#,##0" ";" -"00" ";" "@" "</c:formatCode>
                <c:ptCount val="5"/>
                <c:pt idx="0">
                  <c:v>135.77955935455739</c:v>
                </c:pt>
                <c:pt idx="1">
                  <c:v>121.22057018786002</c:v>
                </c:pt>
                <c:pt idx="2">
                  <c:v>118.24528253999557</c:v>
                </c:pt>
                <c:pt idx="3">
                  <c:v>171.69239076995711</c:v>
                </c:pt>
                <c:pt idx="4">
                  <c:v>168.93701504856867</c:v>
                </c:pt>
              </c:numCache>
            </c:numRef>
          </c:val>
          <c:extLst>
            <c:ext xmlns:c16="http://schemas.microsoft.com/office/drawing/2014/chart" uri="{C3380CC4-5D6E-409C-BE32-E72D297353CC}">
              <c16:uniqueId val="{00000000-BE0D-4A8F-BB8B-E29DC4701423}"/>
            </c:ext>
          </c:extLst>
        </c:ser>
        <c:ser>
          <c:idx val="1"/>
          <c:order val="1"/>
          <c:tx>
            <c:strRef>
              <c:f>'Klimaeffekter,_bagud'!$A$101</c:f>
              <c:strCache>
                <c:ptCount val="1"/>
                <c:pt idx="0">
                  <c:v>Kommunalt, GBP</c:v>
                </c:pt>
              </c:strCache>
            </c:strRef>
          </c:tx>
          <c:spPr>
            <a:solidFill>
              <a:srgbClr val="ED7D31"/>
            </a:solidFill>
            <a:ln>
              <a:noFill/>
            </a:ln>
          </c:spPr>
          <c:invertIfNegative val="0"/>
          <c:cat>
            <c:numRef>
              <c:f>'Klimaeffekter,_bagud'!$B$99:$F$99</c:f>
              <c:numCache>
                <c:formatCode>General</c:formatCode>
                <c:ptCount val="5"/>
                <c:pt idx="0">
                  <c:v>2014</c:v>
                </c:pt>
                <c:pt idx="1">
                  <c:v>2017</c:v>
                </c:pt>
                <c:pt idx="2">
                  <c:v>2018</c:v>
                </c:pt>
                <c:pt idx="3">
                  <c:v>2019</c:v>
                </c:pt>
                <c:pt idx="4">
                  <c:v>2020</c:v>
                </c:pt>
              </c:numCache>
            </c:numRef>
          </c:cat>
          <c:val>
            <c:numRef>
              <c:f>'Klimaeffekter,_bagud'!$B$101:$F$101</c:f>
              <c:numCache>
                <c:formatCode>" "#,##0" ";"-"#,##0" ";" -"00" ";" "@" "</c:formatCode>
                <c:ptCount val="5"/>
                <c:pt idx="0">
                  <c:v>328.94745626779229</c:v>
                </c:pt>
                <c:pt idx="1">
                  <c:v>369.21647364842829</c:v>
                </c:pt>
                <c:pt idx="2">
                  <c:v>372.48234478280375</c:v>
                </c:pt>
                <c:pt idx="3">
                  <c:v>342.03576019612984</c:v>
                </c:pt>
                <c:pt idx="4">
                  <c:v>430.45889353843899</c:v>
                </c:pt>
              </c:numCache>
            </c:numRef>
          </c:val>
          <c:extLst>
            <c:ext xmlns:c16="http://schemas.microsoft.com/office/drawing/2014/chart" uri="{C3380CC4-5D6E-409C-BE32-E72D297353CC}">
              <c16:uniqueId val="{00000001-BE0D-4A8F-BB8B-E29DC4701423}"/>
            </c:ext>
          </c:extLst>
        </c:ser>
        <c:ser>
          <c:idx val="2"/>
          <c:order val="2"/>
          <c:tx>
            <c:strRef>
              <c:f>'Klimaeffekter,_bagud'!$A$102</c:f>
              <c:strCache>
                <c:ptCount val="1"/>
                <c:pt idx="0">
                  <c:v>Bygge- &amp; Anlæg, GBP</c:v>
                </c:pt>
              </c:strCache>
            </c:strRef>
          </c:tx>
          <c:spPr>
            <a:solidFill>
              <a:srgbClr val="A5A5A5"/>
            </a:solidFill>
            <a:ln>
              <a:noFill/>
            </a:ln>
          </c:spPr>
          <c:invertIfNegative val="0"/>
          <c:cat>
            <c:numRef>
              <c:f>'Klimaeffekter,_bagud'!$B$99:$F$99</c:f>
              <c:numCache>
                <c:formatCode>General</c:formatCode>
                <c:ptCount val="5"/>
                <c:pt idx="0">
                  <c:v>2014</c:v>
                </c:pt>
                <c:pt idx="1">
                  <c:v>2017</c:v>
                </c:pt>
                <c:pt idx="2">
                  <c:v>2018</c:v>
                </c:pt>
                <c:pt idx="3">
                  <c:v>2019</c:v>
                </c:pt>
                <c:pt idx="4">
                  <c:v>2020</c:v>
                </c:pt>
              </c:numCache>
            </c:numRef>
          </c:cat>
          <c:val>
            <c:numRef>
              <c:f>'Klimaeffekter,_bagud'!$B$102:$F$102</c:f>
              <c:numCache>
                <c:formatCode>" "#,##0.0" ";"-"#,##0.0" ";" -"00.0" ";" "@" "</c:formatCode>
                <c:ptCount val="5"/>
                <c:pt idx="0">
                  <c:v>3.4472433493240291</c:v>
                </c:pt>
                <c:pt idx="1">
                  <c:v>4.1672232949718078</c:v>
                </c:pt>
                <c:pt idx="2">
                  <c:v>3.29830672250896</c:v>
                </c:pt>
                <c:pt idx="3">
                  <c:v>2.9445287671585683</c:v>
                </c:pt>
                <c:pt idx="4">
                  <c:v>4.2584150712883364</c:v>
                </c:pt>
              </c:numCache>
            </c:numRef>
          </c:val>
          <c:extLst>
            <c:ext xmlns:c16="http://schemas.microsoft.com/office/drawing/2014/chart" uri="{C3380CC4-5D6E-409C-BE32-E72D297353CC}">
              <c16:uniqueId val="{00000002-BE0D-4A8F-BB8B-E29DC4701423}"/>
            </c:ext>
          </c:extLst>
        </c:ser>
        <c:dLbls>
          <c:showLegendKey val="0"/>
          <c:showVal val="0"/>
          <c:showCatName val="0"/>
          <c:showSerName val="0"/>
          <c:showPercent val="0"/>
          <c:showBubbleSize val="0"/>
        </c:dLbls>
        <c:gapWidth val="150"/>
        <c:overlap val="100"/>
        <c:axId val="461055272"/>
        <c:axId val="461052976"/>
      </c:barChart>
      <c:valAx>
        <c:axId val="461052976"/>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kg CO2/husstand/år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1055272"/>
        <c:crosses val="autoZero"/>
        <c:crossBetween val="between"/>
      </c:valAx>
      <c:catAx>
        <c:axId val="461055272"/>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1052976"/>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Fortrængt CO2, 2014-2030</a:t>
            </a:r>
          </a:p>
        </c:rich>
      </c:tx>
      <c:overlay val="0"/>
      <c:spPr>
        <a:noFill/>
        <a:ln>
          <a:noFill/>
        </a:ln>
      </c:spPr>
    </c:title>
    <c:autoTitleDeleted val="0"/>
    <c:plotArea>
      <c:layout/>
      <c:barChart>
        <c:barDir val="col"/>
        <c:grouping val="stacked"/>
        <c:varyColors val="0"/>
        <c:ser>
          <c:idx val="0"/>
          <c:order val="0"/>
          <c:tx>
            <c:strRef>
              <c:f>'Klimaeffekter,_nye_ordning'!$A$77</c:f>
              <c:strCache>
                <c:ptCount val="1"/>
                <c:pt idx="0">
                  <c:v>Husstandsinds.</c:v>
                </c:pt>
              </c:strCache>
            </c:strRef>
          </c:tx>
          <c:spPr>
            <a:solidFill>
              <a:srgbClr val="4472C4"/>
            </a:solidFill>
            <a:ln>
              <a:noFill/>
            </a:ln>
          </c:spPr>
          <c:invertIfNegative val="0"/>
          <c:cat>
            <c:numRef>
              <c:f>'Klimaeffekter,_nye_ordning'!$B$76:$H$76</c:f>
              <c:numCache>
                <c:formatCode>General</c:formatCode>
                <c:ptCount val="7"/>
                <c:pt idx="0">
                  <c:v>2014</c:v>
                </c:pt>
                <c:pt idx="1">
                  <c:v>2017</c:v>
                </c:pt>
                <c:pt idx="2">
                  <c:v>2018</c:v>
                </c:pt>
                <c:pt idx="3">
                  <c:v>2019</c:v>
                </c:pt>
                <c:pt idx="4">
                  <c:v>2020</c:v>
                </c:pt>
                <c:pt idx="5">
                  <c:v>2025</c:v>
                </c:pt>
                <c:pt idx="6">
                  <c:v>2030</c:v>
                </c:pt>
              </c:numCache>
            </c:numRef>
          </c:cat>
          <c:val>
            <c:numRef>
              <c:f>'Klimaeffekter,_nye_ordning'!$B$77:$H$77</c:f>
              <c:numCache>
                <c:formatCode>" "#,##0" ";"-"#,##0" ";" -"00" ";" "@" "</c:formatCode>
                <c:ptCount val="7"/>
                <c:pt idx="0">
                  <c:v>3113.4252960000013</c:v>
                </c:pt>
                <c:pt idx="1">
                  <c:v>2824.9969000000024</c:v>
                </c:pt>
                <c:pt idx="2">
                  <c:v>2758.3786529800004</c:v>
                </c:pt>
                <c:pt idx="3">
                  <c:v>3999.9863047239996</c:v>
                </c:pt>
                <c:pt idx="4">
                  <c:v>3940.9288996500004</c:v>
                </c:pt>
                <c:pt idx="5">
                  <c:v>5057.6629792229705</c:v>
                </c:pt>
                <c:pt idx="6">
                  <c:v>4673.87565863291</c:v>
                </c:pt>
              </c:numCache>
            </c:numRef>
          </c:val>
          <c:extLst>
            <c:ext xmlns:c16="http://schemas.microsoft.com/office/drawing/2014/chart" uri="{C3380CC4-5D6E-409C-BE32-E72D297353CC}">
              <c16:uniqueId val="{00000000-61EB-4592-BFBC-2F6F425EBA25}"/>
            </c:ext>
          </c:extLst>
        </c:ser>
        <c:ser>
          <c:idx val="1"/>
          <c:order val="1"/>
          <c:tx>
            <c:strRef>
              <c:f>'Klimaeffekter,_nye_ordning'!$A$78</c:f>
              <c:strCache>
                <c:ptCount val="1"/>
                <c:pt idx="0">
                  <c:v>Kommunalt, GBP</c:v>
                </c:pt>
              </c:strCache>
            </c:strRef>
          </c:tx>
          <c:spPr>
            <a:solidFill>
              <a:srgbClr val="ED7D31"/>
            </a:solidFill>
            <a:ln>
              <a:noFill/>
            </a:ln>
          </c:spPr>
          <c:invertIfNegative val="0"/>
          <c:cat>
            <c:numRef>
              <c:f>'Klimaeffekter,_nye_ordning'!$B$76:$H$76</c:f>
              <c:numCache>
                <c:formatCode>General</c:formatCode>
                <c:ptCount val="7"/>
                <c:pt idx="0">
                  <c:v>2014</c:v>
                </c:pt>
                <c:pt idx="1">
                  <c:v>2017</c:v>
                </c:pt>
                <c:pt idx="2">
                  <c:v>2018</c:v>
                </c:pt>
                <c:pt idx="3">
                  <c:v>2019</c:v>
                </c:pt>
                <c:pt idx="4">
                  <c:v>2020</c:v>
                </c:pt>
                <c:pt idx="5">
                  <c:v>2025</c:v>
                </c:pt>
                <c:pt idx="6">
                  <c:v>2030</c:v>
                </c:pt>
              </c:numCache>
            </c:numRef>
          </c:cat>
          <c:val>
            <c:numRef>
              <c:f>'Klimaeffekter,_nye_ordning'!$B$78:$H$78</c:f>
              <c:numCache>
                <c:formatCode>" "#,##0" ";"-"#,##0" ";" -"00" ";" "@" "</c:formatCode>
                <c:ptCount val="7"/>
                <c:pt idx="0">
                  <c:v>7542.7651722204782</c:v>
                </c:pt>
                <c:pt idx="1">
                  <c:v>8604.4422317871613</c:v>
                </c:pt>
                <c:pt idx="2">
                  <c:v>8689.1191461553317</c:v>
                </c:pt>
                <c:pt idx="3">
                  <c:v>7968.5439195933159</c:v>
                </c:pt>
                <c:pt idx="4">
                  <c:v>10041.658976685996</c:v>
                </c:pt>
                <c:pt idx="5">
                  <c:v>12189.177563393137</c:v>
                </c:pt>
                <c:pt idx="6">
                  <c:v>12494.826496351283</c:v>
                </c:pt>
              </c:numCache>
            </c:numRef>
          </c:val>
          <c:extLst>
            <c:ext xmlns:c16="http://schemas.microsoft.com/office/drawing/2014/chart" uri="{C3380CC4-5D6E-409C-BE32-E72D297353CC}">
              <c16:uniqueId val="{00000001-61EB-4592-BFBC-2F6F425EBA25}"/>
            </c:ext>
          </c:extLst>
        </c:ser>
        <c:ser>
          <c:idx val="2"/>
          <c:order val="2"/>
          <c:tx>
            <c:strRef>
              <c:f>'Klimaeffekter,_nye_ordning'!$A$79</c:f>
              <c:strCache>
                <c:ptCount val="1"/>
                <c:pt idx="0">
                  <c:v>Bygge- &amp; Anlæg, GBP</c:v>
                </c:pt>
              </c:strCache>
            </c:strRef>
          </c:tx>
          <c:spPr>
            <a:solidFill>
              <a:srgbClr val="A5A5A5"/>
            </a:solidFill>
            <a:ln>
              <a:noFill/>
            </a:ln>
          </c:spPr>
          <c:invertIfNegative val="0"/>
          <c:cat>
            <c:numRef>
              <c:f>'Klimaeffekter,_nye_ordning'!$B$76:$H$76</c:f>
              <c:numCache>
                <c:formatCode>General</c:formatCode>
                <c:ptCount val="7"/>
                <c:pt idx="0">
                  <c:v>2014</c:v>
                </c:pt>
                <c:pt idx="1">
                  <c:v>2017</c:v>
                </c:pt>
                <c:pt idx="2">
                  <c:v>2018</c:v>
                </c:pt>
                <c:pt idx="3">
                  <c:v>2019</c:v>
                </c:pt>
                <c:pt idx="4">
                  <c:v>2020</c:v>
                </c:pt>
                <c:pt idx="5">
                  <c:v>2025</c:v>
                </c:pt>
                <c:pt idx="6">
                  <c:v>2030</c:v>
                </c:pt>
              </c:numCache>
            </c:numRef>
          </c:cat>
          <c:val>
            <c:numRef>
              <c:f>'Klimaeffekter,_nye_ordning'!$B$79:$H$79</c:f>
              <c:numCache>
                <c:formatCode>" "#,##0" ";"-"#,##0" ";" -"00" ";" "@" "</c:formatCode>
                <c:ptCount val="7"/>
                <c:pt idx="0">
                  <c:v>79.04528999999998</c:v>
                </c:pt>
                <c:pt idx="1">
                  <c:v>97.115471999999983</c:v>
                </c:pt>
                <c:pt idx="2">
                  <c:v>76.941579900000008</c:v>
                </c:pt>
                <c:pt idx="3">
                  <c:v>68.599864500000024</c:v>
                </c:pt>
                <c:pt idx="4">
                  <c:v>99.339455100000038</c:v>
                </c:pt>
                <c:pt idx="5">
                  <c:v>101.89450414277303</c:v>
                </c:pt>
                <c:pt idx="6">
                  <c:v>104.44955318554602</c:v>
                </c:pt>
              </c:numCache>
            </c:numRef>
          </c:val>
          <c:extLst>
            <c:ext xmlns:c16="http://schemas.microsoft.com/office/drawing/2014/chart" uri="{C3380CC4-5D6E-409C-BE32-E72D297353CC}">
              <c16:uniqueId val="{00000002-61EB-4592-BFBC-2F6F425EBA25}"/>
            </c:ext>
          </c:extLst>
        </c:ser>
        <c:dLbls>
          <c:showLegendKey val="0"/>
          <c:showVal val="0"/>
          <c:showCatName val="0"/>
          <c:showSerName val="0"/>
          <c:showPercent val="0"/>
          <c:showBubbleSize val="0"/>
        </c:dLbls>
        <c:gapWidth val="150"/>
        <c:overlap val="100"/>
        <c:axId val="461064456"/>
        <c:axId val="461071344"/>
      </c:barChart>
      <c:valAx>
        <c:axId val="461071344"/>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r>
                  <a:rPr lang="da-DK" sz="1000" b="0" i="0" u="none" strike="noStrike" kern="1200" cap="none" spc="0" baseline="0">
                    <a:solidFill>
                      <a:srgbClr val="000000"/>
                    </a:solidFill>
                    <a:uFillTx/>
                    <a:latin typeface="Calibri"/>
                  </a:rPr>
                  <a:t>ton CO2/år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1064456"/>
        <c:crosses val="autoZero"/>
        <c:crossBetween val="between"/>
      </c:valAx>
      <c:catAx>
        <c:axId val="461064456"/>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6107134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Kommunalt affald: genanvendelsesprocent efter gl. &amp; ny metode</a:t>
            </a:r>
          </a:p>
        </c:rich>
      </c:tx>
      <c:overlay val="0"/>
      <c:spPr>
        <a:noFill/>
        <a:ln>
          <a:noFill/>
        </a:ln>
      </c:spPr>
    </c:title>
    <c:autoTitleDeleted val="0"/>
    <c:plotArea>
      <c:layout/>
      <c:barChart>
        <c:barDir val="col"/>
        <c:grouping val="clustered"/>
        <c:varyColors val="0"/>
        <c:ser>
          <c:idx val="0"/>
          <c:order val="0"/>
          <c:tx>
            <c:strRef>
              <c:f>Kommunalt_affald!$AT$5</c:f>
              <c:strCache>
                <c:ptCount val="1"/>
                <c:pt idx="0">
                  <c:v>Genanv. %, gl. metode</c:v>
                </c:pt>
              </c:strCache>
            </c:strRef>
          </c:tx>
          <c:spPr>
            <a:solidFill>
              <a:srgbClr val="4472C4"/>
            </a:solidFill>
            <a:ln>
              <a:noFill/>
            </a:ln>
          </c:spPr>
          <c:invertIfNegative val="0"/>
          <c:cat>
            <c:numRef>
              <c:f>Kommunalt_affald!$AV$4:$AZ$4</c:f>
              <c:numCache>
                <c:formatCode>0</c:formatCode>
                <c:ptCount val="5"/>
                <c:pt idx="0">
                  <c:v>2014</c:v>
                </c:pt>
                <c:pt idx="1">
                  <c:v>2017</c:v>
                </c:pt>
                <c:pt idx="2">
                  <c:v>2018</c:v>
                </c:pt>
                <c:pt idx="3">
                  <c:v>2019</c:v>
                </c:pt>
                <c:pt idx="4">
                  <c:v>2020</c:v>
                </c:pt>
              </c:numCache>
            </c:numRef>
          </c:cat>
          <c:val>
            <c:numRef>
              <c:f>Kommunalt_affald!$AV$5:$AZ$5</c:f>
              <c:numCache>
                <c:formatCode>" "#,##0.0" ";"-"#,##0.0" ";" -"00.0" ";" "@" "</c:formatCode>
                <c:ptCount val="5"/>
                <c:pt idx="0">
                  <c:v>42.173938356362441</c:v>
                </c:pt>
                <c:pt idx="1">
                  <c:v>48.505703360734557</c:v>
                </c:pt>
                <c:pt idx="2">
                  <c:v>49.410785583843634</c:v>
                </c:pt>
                <c:pt idx="3">
                  <c:v>63.17643762540326</c:v>
                </c:pt>
                <c:pt idx="4">
                  <c:v>62.121091753942459</c:v>
                </c:pt>
              </c:numCache>
            </c:numRef>
          </c:val>
          <c:extLst>
            <c:ext xmlns:c16="http://schemas.microsoft.com/office/drawing/2014/chart" uri="{C3380CC4-5D6E-409C-BE32-E72D297353CC}">
              <c16:uniqueId val="{00000000-4913-4B3A-A82F-D9BC8BAEA879}"/>
            </c:ext>
          </c:extLst>
        </c:ser>
        <c:ser>
          <c:idx val="1"/>
          <c:order val="1"/>
          <c:tx>
            <c:strRef>
              <c:f>Kommunalt_affald!$AT$6</c:f>
              <c:strCache>
                <c:ptCount val="1"/>
                <c:pt idx="0">
                  <c:v>Genanv. %, ny metode</c:v>
                </c:pt>
              </c:strCache>
            </c:strRef>
          </c:tx>
          <c:spPr>
            <a:solidFill>
              <a:srgbClr val="ED7D31"/>
            </a:solidFill>
            <a:ln>
              <a:noFill/>
            </a:ln>
          </c:spPr>
          <c:invertIfNegative val="0"/>
          <c:cat>
            <c:numRef>
              <c:f>Kommunalt_affald!$AV$4:$AZ$4</c:f>
              <c:numCache>
                <c:formatCode>0</c:formatCode>
                <c:ptCount val="5"/>
                <c:pt idx="0">
                  <c:v>2014</c:v>
                </c:pt>
                <c:pt idx="1">
                  <c:v>2017</c:v>
                </c:pt>
                <c:pt idx="2">
                  <c:v>2018</c:v>
                </c:pt>
                <c:pt idx="3">
                  <c:v>2019</c:v>
                </c:pt>
                <c:pt idx="4">
                  <c:v>2020</c:v>
                </c:pt>
              </c:numCache>
            </c:numRef>
          </c:cat>
          <c:val>
            <c:numRef>
              <c:f>Kommunalt_affald!$AV$6:$AZ$6</c:f>
              <c:numCache>
                <c:formatCode>" "#,##0.0" ";"-"#,##0.0" ";" -"00.0" ";" "@" "</c:formatCode>
                <c:ptCount val="5"/>
                <c:pt idx="0">
                  <c:v>33.600048911164969</c:v>
                </c:pt>
                <c:pt idx="1">
                  <c:v>39.324642083163496</c:v>
                </c:pt>
                <c:pt idx="2">
                  <c:v>40.343532645559272</c:v>
                </c:pt>
                <c:pt idx="3">
                  <c:v>51.081735135915494</c:v>
                </c:pt>
                <c:pt idx="4">
                  <c:v>50.180626115060221</c:v>
                </c:pt>
              </c:numCache>
            </c:numRef>
          </c:val>
          <c:extLst>
            <c:ext xmlns:c16="http://schemas.microsoft.com/office/drawing/2014/chart" uri="{C3380CC4-5D6E-409C-BE32-E72D297353CC}">
              <c16:uniqueId val="{00000001-4913-4B3A-A82F-D9BC8BAEA879}"/>
            </c:ext>
          </c:extLst>
        </c:ser>
        <c:dLbls>
          <c:showLegendKey val="0"/>
          <c:showVal val="0"/>
          <c:showCatName val="0"/>
          <c:showSerName val="0"/>
          <c:showPercent val="0"/>
          <c:showBubbleSize val="0"/>
        </c:dLbls>
        <c:gapWidth val="219"/>
        <c:overlap val="-27"/>
        <c:axId val="457644784"/>
        <c:axId val="457647408"/>
      </c:barChart>
      <c:valAx>
        <c:axId val="457647408"/>
        <c:scaling>
          <c:orientation val="minMax"/>
          <c:max val="60"/>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Genanvendelsesprocent</a:t>
                </a:r>
              </a:p>
            </c:rich>
          </c:tx>
          <c:overlay val="0"/>
          <c:spPr>
            <a:noFill/>
            <a:ln>
              <a:noFill/>
            </a:ln>
          </c:spPr>
        </c:title>
        <c:numFmt formatCode="#.##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7644784"/>
        <c:crosses val="autoZero"/>
        <c:crossBetween val="between"/>
      </c:valAx>
      <c:catAx>
        <c:axId val="457644784"/>
        <c:scaling>
          <c:orientation val="minMax"/>
        </c:scaling>
        <c:delete val="0"/>
        <c:axPos val="b"/>
        <c:numFmt formatCode="0"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7647408"/>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Genbrugspladsmængder, ton/år</a:t>
            </a:r>
          </a:p>
        </c:rich>
      </c:tx>
      <c:overlay val="0"/>
      <c:spPr>
        <a:noFill/>
        <a:ln>
          <a:noFill/>
        </a:ln>
      </c:spPr>
    </c:title>
    <c:autoTitleDeleted val="0"/>
    <c:plotArea>
      <c:layout/>
      <c:barChart>
        <c:barDir val="col"/>
        <c:grouping val="stacked"/>
        <c:varyColors val="0"/>
        <c:ser>
          <c:idx val="0"/>
          <c:order val="0"/>
          <c:tx>
            <c:strRef>
              <c:f>'GBP_2014_+_2017-2020'!$B$71</c:f>
              <c:strCache>
                <c:ptCount val="1"/>
                <c:pt idx="0">
                  <c:v>Haveaffald</c:v>
                </c:pt>
              </c:strCache>
            </c:strRef>
          </c:tx>
          <c:spPr>
            <a:solidFill>
              <a:srgbClr val="4472C4"/>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'GBP_2014_+_2017-2020'!$C$71:$G$71</c:f>
              <c:numCache>
                <c:formatCode>" "#,##0" ";"-"#,##0" ";" -"00" ";" "@" "</c:formatCode>
                <c:ptCount val="5"/>
                <c:pt idx="0">
                  <c:v>9224.1800000000076</c:v>
                </c:pt>
                <c:pt idx="1">
                  <c:v>10065.060000000003</c:v>
                </c:pt>
                <c:pt idx="2">
                  <c:v>8897.7499999999945</c:v>
                </c:pt>
                <c:pt idx="3">
                  <c:v>10121.400000000003</c:v>
                </c:pt>
                <c:pt idx="4">
                  <c:v>10378.700000000001</c:v>
                </c:pt>
              </c:numCache>
            </c:numRef>
          </c:val>
          <c:extLst>
            <c:ext xmlns:c16="http://schemas.microsoft.com/office/drawing/2014/chart" uri="{C3380CC4-5D6E-409C-BE32-E72D297353CC}">
              <c16:uniqueId val="{00000000-A8BA-4509-8B97-559F3D152563}"/>
            </c:ext>
          </c:extLst>
        </c:ser>
        <c:ser>
          <c:idx val="1"/>
          <c:order val="1"/>
          <c:tx>
            <c:strRef>
              <c:f>'GBP_2014_+_2017-2020'!$B$72</c:f>
              <c:strCache>
                <c:ptCount val="1"/>
                <c:pt idx="0">
                  <c:v>Beton &amp; tegl</c:v>
                </c:pt>
              </c:strCache>
            </c:strRef>
          </c:tx>
          <c:spPr>
            <a:solidFill>
              <a:srgbClr val="ED7D31"/>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'GBP_2014_+_2017-2020'!$C$72:$G$72</c:f>
              <c:numCache>
                <c:formatCode>" "#,##0" ";"-"#,##0" ";" -"00" ";" "@" "</c:formatCode>
                <c:ptCount val="5"/>
                <c:pt idx="0">
                  <c:v>5121.22</c:v>
                </c:pt>
                <c:pt idx="1">
                  <c:v>5257.6180000000004</c:v>
                </c:pt>
                <c:pt idx="2">
                  <c:v>5154.2799999999988</c:v>
                </c:pt>
                <c:pt idx="3">
                  <c:v>4270.88</c:v>
                </c:pt>
                <c:pt idx="4">
                  <c:v>5975.9000000000005</c:v>
                </c:pt>
              </c:numCache>
            </c:numRef>
          </c:val>
          <c:extLst>
            <c:ext xmlns:c16="http://schemas.microsoft.com/office/drawing/2014/chart" uri="{C3380CC4-5D6E-409C-BE32-E72D297353CC}">
              <c16:uniqueId val="{00000001-A8BA-4509-8B97-559F3D152563}"/>
            </c:ext>
          </c:extLst>
        </c:ser>
        <c:ser>
          <c:idx val="2"/>
          <c:order val="2"/>
          <c:tx>
            <c:strRef>
              <c:f>'GBP_2014_+_2017-2020'!$B$73</c:f>
              <c:strCache>
                <c:ptCount val="1"/>
                <c:pt idx="0">
                  <c:v>Jord</c:v>
                </c:pt>
              </c:strCache>
            </c:strRef>
          </c:tx>
          <c:spPr>
            <a:solidFill>
              <a:srgbClr val="A5A5A5"/>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'GBP_2014_+_2017-2020'!$C$73:$G$73</c:f>
              <c:numCache>
                <c:formatCode>" "#,##0" ";"-"#,##0" ";" -"00" ";" "@" "</c:formatCode>
                <c:ptCount val="5"/>
                <c:pt idx="0">
                  <c:v>1686.66</c:v>
                </c:pt>
                <c:pt idx="1">
                  <c:v>1364.14</c:v>
                </c:pt>
                <c:pt idx="2">
                  <c:v>1487.82</c:v>
                </c:pt>
                <c:pt idx="3">
                  <c:v>1126.4000000000001</c:v>
                </c:pt>
                <c:pt idx="4">
                  <c:v>1802.6</c:v>
                </c:pt>
              </c:numCache>
            </c:numRef>
          </c:val>
          <c:extLst>
            <c:ext xmlns:c16="http://schemas.microsoft.com/office/drawing/2014/chart" uri="{C3380CC4-5D6E-409C-BE32-E72D297353CC}">
              <c16:uniqueId val="{00000002-A8BA-4509-8B97-559F3D152563}"/>
            </c:ext>
          </c:extLst>
        </c:ser>
        <c:ser>
          <c:idx val="3"/>
          <c:order val="3"/>
          <c:tx>
            <c:strRef>
              <c:f>'GBP_2014_+_2017-2020'!$B$74</c:f>
              <c:strCache>
                <c:ptCount val="1"/>
                <c:pt idx="0">
                  <c:v>Stort brændbart</c:v>
                </c:pt>
              </c:strCache>
            </c:strRef>
          </c:tx>
          <c:spPr>
            <a:solidFill>
              <a:srgbClr val="FFC000"/>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'GBP_2014_+_2017-2020'!$C$74:$G$74</c:f>
              <c:numCache>
                <c:formatCode>" "#,##0" ";"-"#,##0" ";" -"00" ";" "@" "</c:formatCode>
                <c:ptCount val="5"/>
                <c:pt idx="0">
                  <c:v>3314.5400000000009</c:v>
                </c:pt>
                <c:pt idx="1">
                  <c:v>2474.360000000001</c:v>
                </c:pt>
                <c:pt idx="2">
                  <c:v>2291.08</c:v>
                </c:pt>
                <c:pt idx="3">
                  <c:v>2435.16</c:v>
                </c:pt>
                <c:pt idx="4">
                  <c:v>2850.81</c:v>
                </c:pt>
              </c:numCache>
            </c:numRef>
          </c:val>
          <c:extLst>
            <c:ext xmlns:c16="http://schemas.microsoft.com/office/drawing/2014/chart" uri="{C3380CC4-5D6E-409C-BE32-E72D297353CC}">
              <c16:uniqueId val="{00000003-A8BA-4509-8B97-559F3D152563}"/>
            </c:ext>
          </c:extLst>
        </c:ser>
        <c:ser>
          <c:idx val="4"/>
          <c:order val="4"/>
          <c:tx>
            <c:strRef>
              <c:f>'GBP_2014_+_2017-2020'!$B$75</c:f>
              <c:strCache>
                <c:ptCount val="1"/>
                <c:pt idx="0">
                  <c:v>Småt brændbart</c:v>
                </c:pt>
              </c:strCache>
            </c:strRef>
          </c:tx>
          <c:spPr>
            <a:solidFill>
              <a:srgbClr val="5B9BD5"/>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'GBP_2014_+_2017-2020'!$C$75:$G$75</c:f>
              <c:numCache>
                <c:formatCode>" "#,##0" ";"-"#,##0" ";" -"00" ";" "@" "</c:formatCode>
                <c:ptCount val="5"/>
                <c:pt idx="0">
                  <c:v>2764.375</c:v>
                </c:pt>
                <c:pt idx="1">
                  <c:v>2726.1469999999999</c:v>
                </c:pt>
                <c:pt idx="2">
                  <c:v>2573.107</c:v>
                </c:pt>
                <c:pt idx="3">
                  <c:v>2491.3800000000019</c:v>
                </c:pt>
                <c:pt idx="4">
                  <c:v>2742.1809999999982</c:v>
                </c:pt>
              </c:numCache>
            </c:numRef>
          </c:val>
          <c:extLst>
            <c:ext xmlns:c16="http://schemas.microsoft.com/office/drawing/2014/chart" uri="{C3380CC4-5D6E-409C-BE32-E72D297353CC}">
              <c16:uniqueId val="{00000004-A8BA-4509-8B97-559F3D152563}"/>
            </c:ext>
          </c:extLst>
        </c:ser>
        <c:ser>
          <c:idx val="5"/>
          <c:order val="5"/>
          <c:tx>
            <c:strRef>
              <c:f>'GBP_2014_+_2017-2020'!$B$76</c:f>
              <c:strCache>
                <c:ptCount val="1"/>
                <c:pt idx="0">
                  <c:v>Jern &amp; metal</c:v>
                </c:pt>
              </c:strCache>
            </c:strRef>
          </c:tx>
          <c:spPr>
            <a:solidFill>
              <a:srgbClr val="70AD47"/>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'GBP_2014_+_2017-2020'!$C$76:$G$76</c:f>
              <c:numCache>
                <c:formatCode>" "#,##0" ";"-"#,##0" ";" -"00" ";" "@" "</c:formatCode>
                <c:ptCount val="5"/>
                <c:pt idx="0">
                  <c:v>1531.914</c:v>
                </c:pt>
                <c:pt idx="1">
                  <c:v>1506.5440000000001</c:v>
                </c:pt>
                <c:pt idx="2">
                  <c:v>1427.0430000000001</c:v>
                </c:pt>
                <c:pt idx="3">
                  <c:v>1109.73</c:v>
                </c:pt>
                <c:pt idx="4">
                  <c:v>1643.4830000000002</c:v>
                </c:pt>
              </c:numCache>
            </c:numRef>
          </c:val>
          <c:extLst>
            <c:ext xmlns:c16="http://schemas.microsoft.com/office/drawing/2014/chart" uri="{C3380CC4-5D6E-409C-BE32-E72D297353CC}">
              <c16:uniqueId val="{00000005-A8BA-4509-8B97-559F3D152563}"/>
            </c:ext>
          </c:extLst>
        </c:ser>
        <c:ser>
          <c:idx val="6"/>
          <c:order val="6"/>
          <c:tx>
            <c:strRef>
              <c:f>'GBP_2014_+_2017-2020'!$B$77</c:f>
              <c:strCache>
                <c:ptCount val="1"/>
                <c:pt idx="0">
                  <c:v>Elektronikskrot</c:v>
                </c:pt>
              </c:strCache>
            </c:strRef>
          </c:tx>
          <c:spPr>
            <a:solidFill>
              <a:srgbClr val="264478"/>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'GBP_2014_+_2017-2020'!$C$77:$G$77</c:f>
              <c:numCache>
                <c:formatCode>" "#,##0" ";"-"#,##0" ";" -"00" ";" "@" "</c:formatCode>
                <c:ptCount val="5"/>
                <c:pt idx="0">
                  <c:v>788.50700000000006</c:v>
                </c:pt>
                <c:pt idx="1">
                  <c:v>721.71400000000006</c:v>
                </c:pt>
                <c:pt idx="2">
                  <c:v>714.88499999999988</c:v>
                </c:pt>
                <c:pt idx="3">
                  <c:v>677.96299999999997</c:v>
                </c:pt>
                <c:pt idx="4">
                  <c:v>850.69400000000007</c:v>
                </c:pt>
              </c:numCache>
            </c:numRef>
          </c:val>
          <c:extLst>
            <c:ext xmlns:c16="http://schemas.microsoft.com/office/drawing/2014/chart" uri="{C3380CC4-5D6E-409C-BE32-E72D297353CC}">
              <c16:uniqueId val="{00000006-A8BA-4509-8B97-559F3D152563}"/>
            </c:ext>
          </c:extLst>
        </c:ser>
        <c:ser>
          <c:idx val="7"/>
          <c:order val="7"/>
          <c:tx>
            <c:strRef>
              <c:f>'GBP_2014_+_2017-2020'!$B$78</c:f>
              <c:strCache>
                <c:ptCount val="1"/>
                <c:pt idx="0">
                  <c:v>Asbest</c:v>
                </c:pt>
              </c:strCache>
            </c:strRef>
          </c:tx>
          <c:spPr>
            <a:solidFill>
              <a:srgbClr val="9E480E"/>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'GBP_2014_+_2017-2020'!$C$78:$G$78</c:f>
              <c:numCache>
                <c:formatCode>" "#,##0" ";"-"#,##0" ";" -"00" ";" "@" "</c:formatCode>
                <c:ptCount val="5"/>
                <c:pt idx="0">
                  <c:v>610.20000000000016</c:v>
                </c:pt>
                <c:pt idx="1">
                  <c:v>576.87999999999965</c:v>
                </c:pt>
                <c:pt idx="2">
                  <c:v>585.96</c:v>
                </c:pt>
                <c:pt idx="3">
                  <c:v>658.83999999999992</c:v>
                </c:pt>
                <c:pt idx="4">
                  <c:v>760.64</c:v>
                </c:pt>
              </c:numCache>
            </c:numRef>
          </c:val>
          <c:extLst>
            <c:ext xmlns:c16="http://schemas.microsoft.com/office/drawing/2014/chart" uri="{C3380CC4-5D6E-409C-BE32-E72D297353CC}">
              <c16:uniqueId val="{00000007-A8BA-4509-8B97-559F3D152563}"/>
            </c:ext>
          </c:extLst>
        </c:ser>
        <c:ser>
          <c:idx val="8"/>
          <c:order val="8"/>
          <c:tx>
            <c:strRef>
              <c:f>'GBP_2014_+_2017-2020'!$B$79</c:f>
              <c:strCache>
                <c:ptCount val="1"/>
                <c:pt idx="0">
                  <c:v>Øvrige</c:v>
                </c:pt>
              </c:strCache>
            </c:strRef>
          </c:tx>
          <c:spPr>
            <a:solidFill>
              <a:srgbClr val="E7E6E6"/>
            </a:solidFill>
            <a:ln>
              <a:noFill/>
            </a:ln>
          </c:spPr>
          <c:invertIfNegative val="0"/>
          <c:cat>
            <c:numRef>
              <c:f>'GBP_2014_+_2017-2020'!$C$70:$G$70</c:f>
              <c:numCache>
                <c:formatCode>0</c:formatCode>
                <c:ptCount val="5"/>
                <c:pt idx="0">
                  <c:v>2014</c:v>
                </c:pt>
                <c:pt idx="1">
                  <c:v>2017</c:v>
                </c:pt>
                <c:pt idx="2">
                  <c:v>2018</c:v>
                </c:pt>
                <c:pt idx="3">
                  <c:v>2019</c:v>
                </c:pt>
                <c:pt idx="4">
                  <c:v>2020</c:v>
                </c:pt>
              </c:numCache>
            </c:numRef>
          </c:cat>
          <c:val>
            <c:numRef>
              <c:f>'GBP_2014_+_2017-2020'!$C$79:$G$79</c:f>
              <c:numCache>
                <c:formatCode>" "#,##0" ";"-"#,##0" ";" -"00" ";" "@" "</c:formatCode>
                <c:ptCount val="5"/>
                <c:pt idx="0">
                  <c:v>3411.5929999999935</c:v>
                </c:pt>
                <c:pt idx="1">
                  <c:v>5817.5280000000021</c:v>
                </c:pt>
                <c:pt idx="2">
                  <c:v>6312.8870000000024</c:v>
                </c:pt>
                <c:pt idx="3">
                  <c:v>6420.9850000000079</c:v>
                </c:pt>
                <c:pt idx="4">
                  <c:v>7402.5280000000021</c:v>
                </c:pt>
              </c:numCache>
            </c:numRef>
          </c:val>
          <c:extLst>
            <c:ext xmlns:c16="http://schemas.microsoft.com/office/drawing/2014/chart" uri="{C3380CC4-5D6E-409C-BE32-E72D297353CC}">
              <c16:uniqueId val="{00000008-A8BA-4509-8B97-559F3D152563}"/>
            </c:ext>
          </c:extLst>
        </c:ser>
        <c:dLbls>
          <c:showLegendKey val="0"/>
          <c:showVal val="0"/>
          <c:showCatName val="0"/>
          <c:showSerName val="0"/>
          <c:showPercent val="0"/>
          <c:showBubbleSize val="0"/>
        </c:dLbls>
        <c:gapWidth val="150"/>
        <c:overlap val="100"/>
        <c:axId val="457645440"/>
        <c:axId val="457643800"/>
      </c:barChart>
      <c:valAx>
        <c:axId val="457643800"/>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Ton pr. 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7645440"/>
        <c:crosses val="autoZero"/>
        <c:crossBetween val="between"/>
      </c:valAx>
      <c:catAx>
        <c:axId val="457645440"/>
        <c:scaling>
          <c:orientation val="minMax"/>
        </c:scaling>
        <c:delete val="0"/>
        <c:axPos val="b"/>
        <c:numFmt formatCode="0"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7643800"/>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Genbrugspladsmængder, fordelt på behandling</a:t>
            </a:r>
          </a:p>
        </c:rich>
      </c:tx>
      <c:overlay val="0"/>
      <c:spPr>
        <a:noFill/>
        <a:ln>
          <a:noFill/>
        </a:ln>
      </c:spPr>
    </c:title>
    <c:autoTitleDeleted val="0"/>
    <c:plotArea>
      <c:layout/>
      <c:barChart>
        <c:barDir val="col"/>
        <c:grouping val="stacked"/>
        <c:varyColors val="0"/>
        <c:ser>
          <c:idx val="0"/>
          <c:order val="0"/>
          <c:tx>
            <c:strRef>
              <c:f>'GBP_2014_+_2017-2020'!$B$87</c:f>
              <c:strCache>
                <c:ptCount val="1"/>
                <c:pt idx="0">
                  <c:v>Genanvendelse</c:v>
                </c:pt>
              </c:strCache>
            </c:strRef>
          </c:tx>
          <c:spPr>
            <a:solidFill>
              <a:srgbClr val="70AD47"/>
            </a:solidFill>
            <a:ln>
              <a:noFill/>
            </a:ln>
          </c:spPr>
          <c:invertIfNegative val="0"/>
          <c:cat>
            <c:numRef>
              <c:f>'GBP_2014_+_2017-2020'!$C$86:$G$86</c:f>
              <c:numCache>
                <c:formatCode>General</c:formatCode>
                <c:ptCount val="5"/>
                <c:pt idx="0">
                  <c:v>2014</c:v>
                </c:pt>
                <c:pt idx="1">
                  <c:v>2017</c:v>
                </c:pt>
                <c:pt idx="2">
                  <c:v>2018</c:v>
                </c:pt>
                <c:pt idx="3">
                  <c:v>2019</c:v>
                </c:pt>
                <c:pt idx="4">
                  <c:v>2020</c:v>
                </c:pt>
              </c:numCache>
            </c:numRef>
          </c:cat>
          <c:val>
            <c:numRef>
              <c:f>'GBP_2014_+_2017-2020'!$C$87:$G$87</c:f>
              <c:numCache>
                <c:formatCode>" "#,##0" ";"-"#,##0" ";" -"00" ";" "@" "</c:formatCode>
                <c:ptCount val="5"/>
                <c:pt idx="0">
                  <c:v>20831.320000000007</c:v>
                </c:pt>
                <c:pt idx="1">
                  <c:v>23742.660000000007</c:v>
                </c:pt>
                <c:pt idx="2">
                  <c:v>22926.491999999987</c:v>
                </c:pt>
                <c:pt idx="3">
                  <c:v>22538.491000000005</c:v>
                </c:pt>
                <c:pt idx="4">
                  <c:v>26561.196000000004</c:v>
                </c:pt>
              </c:numCache>
            </c:numRef>
          </c:val>
          <c:extLst>
            <c:ext xmlns:c16="http://schemas.microsoft.com/office/drawing/2014/chart" uri="{C3380CC4-5D6E-409C-BE32-E72D297353CC}">
              <c16:uniqueId val="{00000000-0A90-47E1-B6D4-75D2B1F80283}"/>
            </c:ext>
          </c:extLst>
        </c:ser>
        <c:ser>
          <c:idx val="1"/>
          <c:order val="1"/>
          <c:tx>
            <c:strRef>
              <c:f>'GBP_2014_+_2017-2020'!$B$88</c:f>
              <c:strCache>
                <c:ptCount val="1"/>
                <c:pt idx="0">
                  <c:v>Forbrænding</c:v>
                </c:pt>
              </c:strCache>
            </c:strRef>
          </c:tx>
          <c:spPr>
            <a:solidFill>
              <a:srgbClr val="ED7D31"/>
            </a:solidFill>
            <a:ln>
              <a:noFill/>
            </a:ln>
          </c:spPr>
          <c:invertIfNegative val="0"/>
          <c:cat>
            <c:numRef>
              <c:f>'GBP_2014_+_2017-2020'!$C$86:$G$86</c:f>
              <c:numCache>
                <c:formatCode>General</c:formatCode>
                <c:ptCount val="5"/>
                <c:pt idx="0">
                  <c:v>2014</c:v>
                </c:pt>
                <c:pt idx="1">
                  <c:v>2017</c:v>
                </c:pt>
                <c:pt idx="2">
                  <c:v>2018</c:v>
                </c:pt>
                <c:pt idx="3">
                  <c:v>2019</c:v>
                </c:pt>
                <c:pt idx="4">
                  <c:v>2020</c:v>
                </c:pt>
              </c:numCache>
            </c:numRef>
          </c:cat>
          <c:val>
            <c:numRef>
              <c:f>'GBP_2014_+_2017-2020'!$C$88:$G$88</c:f>
              <c:numCache>
                <c:formatCode>" "#,##0" ";"-"#,##0" ";" -"00" ";" "@" "</c:formatCode>
                <c:ptCount val="5"/>
                <c:pt idx="0">
                  <c:v>6547.9750000000013</c:v>
                </c:pt>
                <c:pt idx="1">
                  <c:v>5871.8670000000011</c:v>
                </c:pt>
                <c:pt idx="2">
                  <c:v>5545.8670000000002</c:v>
                </c:pt>
                <c:pt idx="3">
                  <c:v>5680.7200000000021</c:v>
                </c:pt>
                <c:pt idx="4">
                  <c:v>6511.9509999999982</c:v>
                </c:pt>
              </c:numCache>
            </c:numRef>
          </c:val>
          <c:extLst>
            <c:ext xmlns:c16="http://schemas.microsoft.com/office/drawing/2014/chart" uri="{C3380CC4-5D6E-409C-BE32-E72D297353CC}">
              <c16:uniqueId val="{00000001-0A90-47E1-B6D4-75D2B1F80283}"/>
            </c:ext>
          </c:extLst>
        </c:ser>
        <c:ser>
          <c:idx val="2"/>
          <c:order val="2"/>
          <c:tx>
            <c:strRef>
              <c:f>'GBP_2014_+_2017-2020'!$B$89</c:f>
              <c:strCache>
                <c:ptCount val="1"/>
                <c:pt idx="0">
                  <c:v>Deponering</c:v>
                </c:pt>
              </c:strCache>
            </c:strRef>
          </c:tx>
          <c:spPr>
            <a:solidFill>
              <a:srgbClr val="A5A5A5"/>
            </a:solidFill>
            <a:ln>
              <a:noFill/>
            </a:ln>
          </c:spPr>
          <c:invertIfNegative val="0"/>
          <c:cat>
            <c:numRef>
              <c:f>'GBP_2014_+_2017-2020'!$C$86:$G$86</c:f>
              <c:numCache>
                <c:formatCode>General</c:formatCode>
                <c:ptCount val="5"/>
                <c:pt idx="0">
                  <c:v>2014</c:v>
                </c:pt>
                <c:pt idx="1">
                  <c:v>2017</c:v>
                </c:pt>
                <c:pt idx="2">
                  <c:v>2018</c:v>
                </c:pt>
                <c:pt idx="3">
                  <c:v>2019</c:v>
                </c:pt>
                <c:pt idx="4">
                  <c:v>2020</c:v>
                </c:pt>
              </c:numCache>
            </c:numRef>
          </c:cat>
          <c:val>
            <c:numRef>
              <c:f>'GBP_2014_+_2017-2020'!$C$89:$G$89</c:f>
              <c:numCache>
                <c:formatCode>" "#,##0" ";"-"#,##0" ";" -"00" ";" "@" "</c:formatCode>
                <c:ptCount val="5"/>
                <c:pt idx="0">
                  <c:v>955.12000000000023</c:v>
                </c:pt>
                <c:pt idx="1">
                  <c:v>765.87999999999965</c:v>
                </c:pt>
                <c:pt idx="2">
                  <c:v>831.6400000000001</c:v>
                </c:pt>
                <c:pt idx="3">
                  <c:v>962.52</c:v>
                </c:pt>
                <c:pt idx="4">
                  <c:v>1169.8</c:v>
                </c:pt>
              </c:numCache>
            </c:numRef>
          </c:val>
          <c:extLst>
            <c:ext xmlns:c16="http://schemas.microsoft.com/office/drawing/2014/chart" uri="{C3380CC4-5D6E-409C-BE32-E72D297353CC}">
              <c16:uniqueId val="{00000002-0A90-47E1-B6D4-75D2B1F80283}"/>
            </c:ext>
          </c:extLst>
        </c:ser>
        <c:ser>
          <c:idx val="3"/>
          <c:order val="3"/>
          <c:tx>
            <c:strRef>
              <c:f>'GBP_2014_+_2017-2020'!$B$90</c:f>
              <c:strCache>
                <c:ptCount val="1"/>
                <c:pt idx="0">
                  <c:v>Specialbeh.</c:v>
                </c:pt>
              </c:strCache>
            </c:strRef>
          </c:tx>
          <c:spPr>
            <a:solidFill>
              <a:srgbClr val="FFC000"/>
            </a:solidFill>
            <a:ln>
              <a:noFill/>
            </a:ln>
          </c:spPr>
          <c:invertIfNegative val="0"/>
          <c:cat>
            <c:numRef>
              <c:f>'GBP_2014_+_2017-2020'!$C$86:$G$86</c:f>
              <c:numCache>
                <c:formatCode>General</c:formatCode>
                <c:ptCount val="5"/>
                <c:pt idx="0">
                  <c:v>2014</c:v>
                </c:pt>
                <c:pt idx="1">
                  <c:v>2017</c:v>
                </c:pt>
                <c:pt idx="2">
                  <c:v>2018</c:v>
                </c:pt>
                <c:pt idx="3">
                  <c:v>2019</c:v>
                </c:pt>
                <c:pt idx="4">
                  <c:v>2020</c:v>
                </c:pt>
              </c:numCache>
            </c:numRef>
          </c:cat>
          <c:val>
            <c:numRef>
              <c:f>'GBP_2014_+_2017-2020'!$C$90:$G$90</c:f>
              <c:numCache>
                <c:formatCode>" "#,##0" ";"-"#,##0" ";" -"00" ";" "@" "</c:formatCode>
                <c:ptCount val="5"/>
                <c:pt idx="0">
                  <c:v>118.774</c:v>
                </c:pt>
                <c:pt idx="1">
                  <c:v>129.584</c:v>
                </c:pt>
                <c:pt idx="2">
                  <c:v>140.81299999999999</c:v>
                </c:pt>
                <c:pt idx="3">
                  <c:v>131.00699999999998</c:v>
                </c:pt>
                <c:pt idx="4">
                  <c:v>164.589</c:v>
                </c:pt>
              </c:numCache>
            </c:numRef>
          </c:val>
          <c:extLst>
            <c:ext xmlns:c16="http://schemas.microsoft.com/office/drawing/2014/chart" uri="{C3380CC4-5D6E-409C-BE32-E72D297353CC}">
              <c16:uniqueId val="{00000003-0A90-47E1-B6D4-75D2B1F80283}"/>
            </c:ext>
          </c:extLst>
        </c:ser>
        <c:dLbls>
          <c:showLegendKey val="0"/>
          <c:showVal val="0"/>
          <c:showCatName val="0"/>
          <c:showSerName val="0"/>
          <c:showPercent val="0"/>
          <c:showBubbleSize val="0"/>
        </c:dLbls>
        <c:gapWidth val="150"/>
        <c:overlap val="100"/>
        <c:axId val="457395248"/>
        <c:axId val="457401152"/>
      </c:barChart>
      <c:valAx>
        <c:axId val="457401152"/>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Ton pr. 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7395248"/>
        <c:crosses val="autoZero"/>
        <c:crossBetween val="between"/>
      </c:valAx>
      <c:catAx>
        <c:axId val="457395248"/>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7401152"/>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Ikke-genanvendeligt erhvervsaffald</a:t>
            </a:r>
          </a:p>
        </c:rich>
      </c:tx>
      <c:overlay val="0"/>
      <c:spPr>
        <a:noFill/>
        <a:ln>
          <a:noFill/>
        </a:ln>
      </c:spPr>
    </c:title>
    <c:autoTitleDeleted val="0"/>
    <c:plotArea>
      <c:layout/>
      <c:lineChart>
        <c:grouping val="standard"/>
        <c:varyColors val="0"/>
        <c:ser>
          <c:idx val="0"/>
          <c:order val="0"/>
          <c:tx>
            <c:strRef>
              <c:f>'Erhvervsaffald,_ej_genanv_'!$B$51</c:f>
              <c:strCache>
                <c:ptCount val="1"/>
                <c:pt idx="0">
                  <c:v>Forbrændingsegnet</c:v>
                </c:pt>
              </c:strCache>
            </c:strRef>
          </c:tx>
          <c:spPr>
            <a:ln w="28575" cap="rnd">
              <a:solidFill>
                <a:srgbClr val="4472C4"/>
              </a:solidFill>
              <a:prstDash val="solid"/>
              <a:round/>
            </a:ln>
          </c:spPr>
          <c:marker>
            <c:symbol val="none"/>
          </c:marker>
          <c:cat>
            <c:numRef>
              <c:f>'Erhvervsaffald,_ej_genanv_'!$C$50:$G$50</c:f>
              <c:numCache>
                <c:formatCode>General</c:formatCode>
                <c:ptCount val="5"/>
                <c:pt idx="0">
                  <c:v>2014</c:v>
                </c:pt>
                <c:pt idx="1">
                  <c:v>2017</c:v>
                </c:pt>
                <c:pt idx="2">
                  <c:v>2018</c:v>
                </c:pt>
                <c:pt idx="3">
                  <c:v>2019</c:v>
                </c:pt>
                <c:pt idx="4">
                  <c:v>2020</c:v>
                </c:pt>
              </c:numCache>
            </c:numRef>
          </c:cat>
          <c:val>
            <c:numRef>
              <c:f>'Erhvervsaffald,_ej_genanv_'!$C$51:$G$51</c:f>
              <c:numCache>
                <c:formatCode>" "#,##0" ";"-"#,##0" ";" -"00" ";" "@" "</c:formatCode>
                <c:ptCount val="5"/>
                <c:pt idx="0">
                  <c:v>441.78199999999993</c:v>
                </c:pt>
                <c:pt idx="1">
                  <c:v>1980.9599999999966</c:v>
                </c:pt>
                <c:pt idx="2">
                  <c:v>830.1700000000011</c:v>
                </c:pt>
                <c:pt idx="3">
                  <c:v>1566.8999999999987</c:v>
                </c:pt>
                <c:pt idx="4">
                  <c:v>978.76000000000386</c:v>
                </c:pt>
              </c:numCache>
            </c:numRef>
          </c:val>
          <c:smooth val="0"/>
          <c:extLst>
            <c:ext xmlns:c16="http://schemas.microsoft.com/office/drawing/2014/chart" uri="{C3380CC4-5D6E-409C-BE32-E72D297353CC}">
              <c16:uniqueId val="{00000000-8757-46D3-83A2-0641A5DBBC94}"/>
            </c:ext>
          </c:extLst>
        </c:ser>
        <c:ser>
          <c:idx val="1"/>
          <c:order val="1"/>
          <c:tx>
            <c:strRef>
              <c:f>'Erhvervsaffald,_ej_genanv_'!$B$52</c:f>
              <c:strCache>
                <c:ptCount val="1"/>
                <c:pt idx="0">
                  <c:v>Deponeringsegnet, i alt</c:v>
                </c:pt>
              </c:strCache>
            </c:strRef>
          </c:tx>
          <c:spPr>
            <a:ln w="28575" cap="rnd">
              <a:solidFill>
                <a:srgbClr val="ED7D31"/>
              </a:solidFill>
              <a:prstDash val="solid"/>
              <a:round/>
            </a:ln>
          </c:spPr>
          <c:marker>
            <c:symbol val="none"/>
          </c:marker>
          <c:cat>
            <c:numRef>
              <c:f>'Erhvervsaffald,_ej_genanv_'!$C$50:$G$50</c:f>
              <c:numCache>
                <c:formatCode>General</c:formatCode>
                <c:ptCount val="5"/>
                <c:pt idx="0">
                  <c:v>2014</c:v>
                </c:pt>
                <c:pt idx="1">
                  <c:v>2017</c:v>
                </c:pt>
                <c:pt idx="2">
                  <c:v>2018</c:v>
                </c:pt>
                <c:pt idx="3">
                  <c:v>2019</c:v>
                </c:pt>
                <c:pt idx="4">
                  <c:v>2020</c:v>
                </c:pt>
              </c:numCache>
            </c:numRef>
          </c:cat>
          <c:val>
            <c:numRef>
              <c:f>'Erhvervsaffald,_ej_genanv_'!$C$52:$G$52</c:f>
              <c:numCache>
                <c:formatCode>" "#,##0" ";"-"#,##0" ";" -"00" ";" "@" "</c:formatCode>
                <c:ptCount val="5"/>
                <c:pt idx="0">
                  <c:v>917.78</c:v>
                </c:pt>
                <c:pt idx="1">
                  <c:v>628.3100000000004</c:v>
                </c:pt>
                <c:pt idx="2">
                  <c:v>486.47999999999956</c:v>
                </c:pt>
                <c:pt idx="3">
                  <c:v>290.66000000000031</c:v>
                </c:pt>
                <c:pt idx="4">
                  <c:v>795.13000000000102</c:v>
                </c:pt>
              </c:numCache>
            </c:numRef>
          </c:val>
          <c:smooth val="0"/>
          <c:extLst>
            <c:ext xmlns:c16="http://schemas.microsoft.com/office/drawing/2014/chart" uri="{C3380CC4-5D6E-409C-BE32-E72D297353CC}">
              <c16:uniqueId val="{00000001-8757-46D3-83A2-0641A5DBBC94}"/>
            </c:ext>
          </c:extLst>
        </c:ser>
        <c:ser>
          <c:idx val="2"/>
          <c:order val="2"/>
          <c:tx>
            <c:strRef>
              <c:f>'Erhvervsaffald,_ej_genanv_'!$B$54</c:f>
              <c:strCache>
                <c:ptCount val="1"/>
                <c:pt idx="0">
                  <c:v>Biobrændsel</c:v>
                </c:pt>
              </c:strCache>
            </c:strRef>
          </c:tx>
          <c:spPr>
            <a:ln w="28575" cap="rnd">
              <a:solidFill>
                <a:srgbClr val="A5A5A5"/>
              </a:solidFill>
              <a:prstDash val="solid"/>
              <a:round/>
            </a:ln>
          </c:spPr>
          <c:marker>
            <c:symbol val="none"/>
          </c:marker>
          <c:cat>
            <c:numRef>
              <c:f>'Erhvervsaffald,_ej_genanv_'!$C$50:$G$50</c:f>
              <c:numCache>
                <c:formatCode>General</c:formatCode>
                <c:ptCount val="5"/>
                <c:pt idx="0">
                  <c:v>2014</c:v>
                </c:pt>
                <c:pt idx="1">
                  <c:v>2017</c:v>
                </c:pt>
                <c:pt idx="2">
                  <c:v>2018</c:v>
                </c:pt>
                <c:pt idx="3">
                  <c:v>2019</c:v>
                </c:pt>
                <c:pt idx="4">
                  <c:v>2020</c:v>
                </c:pt>
              </c:numCache>
            </c:numRef>
          </c:cat>
          <c:val>
            <c:numRef>
              <c:f>'Erhvervsaffald,_ej_genanv_'!$C$54:$G$54</c:f>
              <c:numCache>
                <c:formatCode>" "#,##0" ";"-"#,##0" ";" -"00" ";" "@" "</c:formatCode>
                <c:ptCount val="5"/>
                <c:pt idx="0">
                  <c:v>0</c:v>
                </c:pt>
                <c:pt idx="1">
                  <c:v>540.17999999999984</c:v>
                </c:pt>
                <c:pt idx="2">
                  <c:v>523.43999999999983</c:v>
                </c:pt>
                <c:pt idx="3">
                  <c:v>522.27999999999975</c:v>
                </c:pt>
                <c:pt idx="4">
                  <c:v>442.38000000000011</c:v>
                </c:pt>
              </c:numCache>
            </c:numRef>
          </c:val>
          <c:smooth val="0"/>
          <c:extLst>
            <c:ext xmlns:c16="http://schemas.microsoft.com/office/drawing/2014/chart" uri="{C3380CC4-5D6E-409C-BE32-E72D297353CC}">
              <c16:uniqueId val="{00000002-8757-46D3-83A2-0641A5DBBC94}"/>
            </c:ext>
          </c:extLst>
        </c:ser>
        <c:dLbls>
          <c:showLegendKey val="0"/>
          <c:showVal val="0"/>
          <c:showCatName val="0"/>
          <c:showSerName val="0"/>
          <c:showPercent val="0"/>
          <c:showBubbleSize val="0"/>
        </c:dLbls>
        <c:smooth val="0"/>
        <c:axId val="457397216"/>
        <c:axId val="457395576"/>
      </c:lineChart>
      <c:valAx>
        <c:axId val="457395576"/>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Ton/år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7397216"/>
        <c:crosses val="autoZero"/>
        <c:crossBetween val="between"/>
      </c:valAx>
      <c:catAx>
        <c:axId val="457397216"/>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7395576"/>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da-DK" sz="1400" b="0" i="0" u="none" strike="noStrike" kern="1200" spc="0" baseline="0">
                <a:solidFill>
                  <a:srgbClr val="595959"/>
                </a:solidFill>
                <a:latin typeface="Calibri"/>
              </a:defRPr>
            </a:pPr>
            <a:r>
              <a:rPr lang="da-DK" sz="1400" b="0" i="0" u="none" strike="noStrike" kern="1200" cap="none" spc="0" baseline="0">
                <a:solidFill>
                  <a:srgbClr val="595959"/>
                </a:solidFill>
                <a:uFillTx/>
                <a:latin typeface="Calibri"/>
              </a:rPr>
              <a:t>Deponeret erhvervsaffald</a:t>
            </a:r>
          </a:p>
        </c:rich>
      </c:tx>
      <c:overlay val="0"/>
      <c:spPr>
        <a:noFill/>
        <a:ln>
          <a:noFill/>
        </a:ln>
      </c:spPr>
    </c:title>
    <c:autoTitleDeleted val="0"/>
    <c:plotArea>
      <c:layout/>
      <c:lineChart>
        <c:grouping val="standard"/>
        <c:varyColors val="0"/>
        <c:ser>
          <c:idx val="0"/>
          <c:order val="0"/>
          <c:tx>
            <c:strRef>
              <c:f>'Erhvervsaffald,_ej_genanv_'!$B$52</c:f>
              <c:strCache>
                <c:ptCount val="1"/>
                <c:pt idx="0">
                  <c:v>Deponeringsegnet, i alt</c:v>
                </c:pt>
              </c:strCache>
            </c:strRef>
          </c:tx>
          <c:spPr>
            <a:ln w="28575" cap="rnd">
              <a:solidFill>
                <a:srgbClr val="4472C4"/>
              </a:solidFill>
              <a:prstDash val="solid"/>
              <a:round/>
            </a:ln>
          </c:spPr>
          <c:marker>
            <c:symbol val="none"/>
          </c:marker>
          <c:cat>
            <c:numRef>
              <c:f>'Erhvervsaffald,_ej_genanv_'!$C$50:$G$50</c:f>
              <c:numCache>
                <c:formatCode>General</c:formatCode>
                <c:ptCount val="5"/>
                <c:pt idx="0">
                  <c:v>2014</c:v>
                </c:pt>
                <c:pt idx="1">
                  <c:v>2017</c:v>
                </c:pt>
                <c:pt idx="2">
                  <c:v>2018</c:v>
                </c:pt>
                <c:pt idx="3">
                  <c:v>2019</c:v>
                </c:pt>
                <c:pt idx="4">
                  <c:v>2020</c:v>
                </c:pt>
              </c:numCache>
            </c:numRef>
          </c:cat>
          <c:val>
            <c:numRef>
              <c:f>'Erhvervsaffald,_ej_genanv_'!$C$52:$G$52</c:f>
              <c:numCache>
                <c:formatCode>" "#,##0" ";"-"#,##0" ";" -"00" ";" "@" "</c:formatCode>
                <c:ptCount val="5"/>
                <c:pt idx="0">
                  <c:v>917.78</c:v>
                </c:pt>
                <c:pt idx="1">
                  <c:v>628.3100000000004</c:v>
                </c:pt>
                <c:pt idx="2">
                  <c:v>486.47999999999956</c:v>
                </c:pt>
                <c:pt idx="3">
                  <c:v>290.66000000000031</c:v>
                </c:pt>
                <c:pt idx="4">
                  <c:v>795.13000000000102</c:v>
                </c:pt>
              </c:numCache>
            </c:numRef>
          </c:val>
          <c:smooth val="0"/>
          <c:extLst>
            <c:ext xmlns:c16="http://schemas.microsoft.com/office/drawing/2014/chart" uri="{C3380CC4-5D6E-409C-BE32-E72D297353CC}">
              <c16:uniqueId val="{00000000-EDF2-4707-BCC1-C92F7CF55A68}"/>
            </c:ext>
          </c:extLst>
        </c:ser>
        <c:ser>
          <c:idx val="1"/>
          <c:order val="1"/>
          <c:tx>
            <c:strRef>
              <c:f>'Erhvervsaffald,_ej_genanv_'!$B$57</c:f>
              <c:strCache>
                <c:ptCount val="1"/>
                <c:pt idx="0">
                  <c:v>Asbest</c:v>
                </c:pt>
              </c:strCache>
            </c:strRef>
          </c:tx>
          <c:spPr>
            <a:ln w="28575" cap="rnd">
              <a:solidFill>
                <a:srgbClr val="ED7D31"/>
              </a:solidFill>
              <a:prstDash val="solid"/>
              <a:round/>
            </a:ln>
          </c:spPr>
          <c:marker>
            <c:symbol val="none"/>
          </c:marker>
          <c:cat>
            <c:numRef>
              <c:f>'Erhvervsaffald,_ej_genanv_'!$C$50:$G$50</c:f>
              <c:numCache>
                <c:formatCode>General</c:formatCode>
                <c:ptCount val="5"/>
                <c:pt idx="0">
                  <c:v>2014</c:v>
                </c:pt>
                <c:pt idx="1">
                  <c:v>2017</c:v>
                </c:pt>
                <c:pt idx="2">
                  <c:v>2018</c:v>
                </c:pt>
                <c:pt idx="3">
                  <c:v>2019</c:v>
                </c:pt>
                <c:pt idx="4">
                  <c:v>2020</c:v>
                </c:pt>
              </c:numCache>
            </c:numRef>
          </c:cat>
          <c:val>
            <c:numRef>
              <c:f>'Erhvervsaffald,_ej_genanv_'!$C$57:$G$57</c:f>
              <c:numCache>
                <c:formatCode>" "#,##0" ";"-"#,##0" ";" -"00" ";" "@" "</c:formatCode>
                <c:ptCount val="5"/>
                <c:pt idx="0">
                  <c:v>124.6600000000002</c:v>
                </c:pt>
                <c:pt idx="1">
                  <c:v>205.26999999999998</c:v>
                </c:pt>
                <c:pt idx="2">
                  <c:v>181.82999999999981</c:v>
                </c:pt>
                <c:pt idx="3">
                  <c:v>108.5</c:v>
                </c:pt>
                <c:pt idx="4">
                  <c:v>564.020000000001</c:v>
                </c:pt>
              </c:numCache>
            </c:numRef>
          </c:val>
          <c:smooth val="0"/>
          <c:extLst>
            <c:ext xmlns:c16="http://schemas.microsoft.com/office/drawing/2014/chart" uri="{C3380CC4-5D6E-409C-BE32-E72D297353CC}">
              <c16:uniqueId val="{00000001-EDF2-4707-BCC1-C92F7CF55A68}"/>
            </c:ext>
          </c:extLst>
        </c:ser>
        <c:ser>
          <c:idx val="2"/>
          <c:order val="2"/>
          <c:tx>
            <c:strRef>
              <c:f>'Erhvervsaffald,_ej_genanv_'!$B$58</c:f>
              <c:strCache>
                <c:ptCount val="1"/>
                <c:pt idx="0">
                  <c:v>PCB-holdigt</c:v>
                </c:pt>
              </c:strCache>
            </c:strRef>
          </c:tx>
          <c:spPr>
            <a:ln w="28575" cap="rnd">
              <a:solidFill>
                <a:srgbClr val="A5A5A5"/>
              </a:solidFill>
              <a:prstDash val="solid"/>
              <a:round/>
            </a:ln>
          </c:spPr>
          <c:marker>
            <c:symbol val="none"/>
          </c:marker>
          <c:cat>
            <c:numRef>
              <c:f>'Erhvervsaffald,_ej_genanv_'!$C$50:$G$50</c:f>
              <c:numCache>
                <c:formatCode>General</c:formatCode>
                <c:ptCount val="5"/>
                <c:pt idx="0">
                  <c:v>2014</c:v>
                </c:pt>
                <c:pt idx="1">
                  <c:v>2017</c:v>
                </c:pt>
                <c:pt idx="2">
                  <c:v>2018</c:v>
                </c:pt>
                <c:pt idx="3">
                  <c:v>2019</c:v>
                </c:pt>
                <c:pt idx="4">
                  <c:v>2020</c:v>
                </c:pt>
              </c:numCache>
            </c:numRef>
          </c:cat>
          <c:val>
            <c:numRef>
              <c:f>'Erhvervsaffald,_ej_genanv_'!$C$58:$G$58</c:f>
              <c:numCache>
                <c:formatCode>" "#,##0" ";"-"#,##0" ";" -"00" ";" "@" "</c:formatCode>
                <c:ptCount val="5"/>
                <c:pt idx="0">
                  <c:v>58.37</c:v>
                </c:pt>
                <c:pt idx="1">
                  <c:v>1.17</c:v>
                </c:pt>
                <c:pt idx="2">
                  <c:v>1.47</c:v>
                </c:pt>
                <c:pt idx="3">
                  <c:v>3.11</c:v>
                </c:pt>
                <c:pt idx="4">
                  <c:v>8.379999999999999</c:v>
                </c:pt>
              </c:numCache>
            </c:numRef>
          </c:val>
          <c:smooth val="0"/>
          <c:extLst>
            <c:ext xmlns:c16="http://schemas.microsoft.com/office/drawing/2014/chart" uri="{C3380CC4-5D6E-409C-BE32-E72D297353CC}">
              <c16:uniqueId val="{00000002-EDF2-4707-BCC1-C92F7CF55A68}"/>
            </c:ext>
          </c:extLst>
        </c:ser>
        <c:dLbls>
          <c:showLegendKey val="0"/>
          <c:showVal val="0"/>
          <c:showCatName val="0"/>
          <c:showSerName val="0"/>
          <c:showPercent val="0"/>
          <c:showBubbleSize val="0"/>
        </c:dLbls>
        <c:smooth val="0"/>
        <c:axId val="457399184"/>
        <c:axId val="457398856"/>
      </c:lineChart>
      <c:valAx>
        <c:axId val="457398856"/>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da-DK" sz="1000" b="0" i="0" u="none" strike="noStrike" kern="1200" baseline="0">
                    <a:solidFill>
                      <a:srgbClr val="595959"/>
                    </a:solidFill>
                    <a:latin typeface="Calibri"/>
                  </a:defRPr>
                </a:pPr>
                <a:r>
                  <a:rPr lang="da-DK" sz="1000" b="0" i="0" u="none" strike="noStrike" kern="1200" cap="none" spc="0" baseline="0">
                    <a:solidFill>
                      <a:srgbClr val="595959"/>
                    </a:solidFill>
                    <a:uFillTx/>
                    <a:latin typeface="Calibri"/>
                  </a:rPr>
                  <a:t>Ton/år</a:t>
                </a:r>
              </a:p>
            </c:rich>
          </c:tx>
          <c:overlay val="0"/>
          <c:spPr>
            <a:noFill/>
            <a:ln>
              <a:noFill/>
            </a:ln>
          </c:spPr>
        </c:title>
        <c:numFmt formatCode="&quot; &quot;#,##0&quot; &quot;;&quot;-&quot;#,##0&quot; &quot;;&quot; -&quot;00&quot; &quot;;&quot; &quot;@&quot; &quot;"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7399184"/>
        <c:crosses val="autoZero"/>
        <c:crossBetween val="between"/>
      </c:valAx>
      <c:catAx>
        <c:axId val="457399184"/>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crossAx val="457398856"/>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da-DK" sz="900" b="0" i="0" u="none" strike="noStrike" kern="1200" baseline="0">
              <a:solidFill>
                <a:srgbClr val="595959"/>
              </a:solidFill>
              <a:latin typeface="Calibri"/>
            </a:defRPr>
          </a:pPr>
          <a:endParaRPr lang="da-DK"/>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da-DK" sz="1000" b="0" i="0" u="none" strike="noStrike" kern="1200" baseline="0">
          <a:solidFill>
            <a:srgbClr val="000000"/>
          </a:solidFill>
          <a:latin typeface="Calibri"/>
        </a:defRPr>
      </a:pPr>
      <a:endParaRPr lang="da-DK"/>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Erhvervsaffald, egnet til materialenyttiggørelse, ton/år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a-DK"/>
        </a:p>
      </c:txPr>
    </c:title>
    <c:autoTitleDeleted val="0"/>
    <c:plotArea>
      <c:layout/>
      <c:barChart>
        <c:barDir val="col"/>
        <c:grouping val="clustered"/>
        <c:varyColors val="0"/>
        <c:ser>
          <c:idx val="0"/>
          <c:order val="0"/>
          <c:tx>
            <c:strRef>
              <c:f>Vordingborg!$N$106</c:f>
              <c:strCache>
                <c:ptCount val="1"/>
                <c:pt idx="0">
                  <c:v>2017</c:v>
                </c:pt>
              </c:strCache>
            </c:strRef>
          </c:tx>
          <c:spPr>
            <a:solidFill>
              <a:schemeClr val="accent1"/>
            </a:solidFill>
            <a:ln>
              <a:noFill/>
            </a:ln>
            <a:effectLst/>
          </c:spPr>
          <c:invertIfNegative val="0"/>
          <c:cat>
            <c:strRef>
              <c:f>Vordingborg!$M$107:$M$115</c:f>
              <c:strCache>
                <c:ptCount val="9"/>
                <c:pt idx="0">
                  <c:v>Madaffald</c:v>
                </c:pt>
                <c:pt idx="1">
                  <c:v>Pap &amp; papir</c:v>
                </c:pt>
                <c:pt idx="2">
                  <c:v>Jern &amp; metal</c:v>
                </c:pt>
                <c:pt idx="3">
                  <c:v>Træ</c:v>
                </c:pt>
                <c:pt idx="4">
                  <c:v>Bygge- &amp; anlæg</c:v>
                </c:pt>
                <c:pt idx="5">
                  <c:v>Asfalt</c:v>
                </c:pt>
                <c:pt idx="6">
                  <c:v>Uforurenet jord</c:v>
                </c:pt>
                <c:pt idx="7">
                  <c:v>Forurenet jord</c:v>
                </c:pt>
                <c:pt idx="8">
                  <c:v>Slam m.v.</c:v>
                </c:pt>
              </c:strCache>
            </c:strRef>
          </c:cat>
          <c:val>
            <c:numRef>
              <c:f>Vordingborg!$N$107:$N$115</c:f>
              <c:numCache>
                <c:formatCode>_-* #,##0_-;\-* #,##0_-;_-* "-"??_-;_-@_-</c:formatCode>
                <c:ptCount val="9"/>
                <c:pt idx="0">
                  <c:v>201.239</c:v>
                </c:pt>
                <c:pt idx="1">
                  <c:v>1592.2831000000001</c:v>
                </c:pt>
                <c:pt idx="2">
                  <c:v>5409.69</c:v>
                </c:pt>
                <c:pt idx="3">
                  <c:v>588.91999999999996</c:v>
                </c:pt>
                <c:pt idx="4">
                  <c:v>22741.527999999998</c:v>
                </c:pt>
                <c:pt idx="5">
                  <c:v>2184.88</c:v>
                </c:pt>
                <c:pt idx="6">
                  <c:v>8580.4380000000001</c:v>
                </c:pt>
                <c:pt idx="7">
                  <c:v>5405.8509999999997</c:v>
                </c:pt>
                <c:pt idx="8">
                  <c:v>11.91</c:v>
                </c:pt>
              </c:numCache>
            </c:numRef>
          </c:val>
          <c:extLst>
            <c:ext xmlns:c16="http://schemas.microsoft.com/office/drawing/2014/chart" uri="{C3380CC4-5D6E-409C-BE32-E72D297353CC}">
              <c16:uniqueId val="{00000000-8644-40F8-AE03-9792263704A8}"/>
            </c:ext>
          </c:extLst>
        </c:ser>
        <c:ser>
          <c:idx val="1"/>
          <c:order val="1"/>
          <c:tx>
            <c:strRef>
              <c:f>Vordingborg!$O$106</c:f>
              <c:strCache>
                <c:ptCount val="1"/>
                <c:pt idx="0">
                  <c:v>2018</c:v>
                </c:pt>
              </c:strCache>
            </c:strRef>
          </c:tx>
          <c:spPr>
            <a:solidFill>
              <a:schemeClr val="accent2"/>
            </a:solidFill>
            <a:ln>
              <a:noFill/>
            </a:ln>
            <a:effectLst/>
          </c:spPr>
          <c:invertIfNegative val="0"/>
          <c:cat>
            <c:strRef>
              <c:f>Vordingborg!$M$107:$M$115</c:f>
              <c:strCache>
                <c:ptCount val="9"/>
                <c:pt idx="0">
                  <c:v>Madaffald</c:v>
                </c:pt>
                <c:pt idx="1">
                  <c:v>Pap &amp; papir</c:v>
                </c:pt>
                <c:pt idx="2">
                  <c:v>Jern &amp; metal</c:v>
                </c:pt>
                <c:pt idx="3">
                  <c:v>Træ</c:v>
                </c:pt>
                <c:pt idx="4">
                  <c:v>Bygge- &amp; anlæg</c:v>
                </c:pt>
                <c:pt idx="5">
                  <c:v>Asfalt</c:v>
                </c:pt>
                <c:pt idx="6">
                  <c:v>Uforurenet jord</c:v>
                </c:pt>
                <c:pt idx="7">
                  <c:v>Forurenet jord</c:v>
                </c:pt>
                <c:pt idx="8">
                  <c:v>Slam m.v.</c:v>
                </c:pt>
              </c:strCache>
            </c:strRef>
          </c:cat>
          <c:val>
            <c:numRef>
              <c:f>Vordingborg!$O$107:$O$115</c:f>
              <c:numCache>
                <c:formatCode>_-* #,##0_-;\-* #,##0_-;_-* "-"??_-;_-@_-</c:formatCode>
                <c:ptCount val="9"/>
                <c:pt idx="0">
                  <c:v>926.09299999999996</c:v>
                </c:pt>
                <c:pt idx="1">
                  <c:v>1927.2411000000002</c:v>
                </c:pt>
                <c:pt idx="2">
                  <c:v>3833.0590000000002</c:v>
                </c:pt>
                <c:pt idx="3">
                  <c:v>667.7</c:v>
                </c:pt>
                <c:pt idx="4">
                  <c:v>25109.354500000001</c:v>
                </c:pt>
                <c:pt idx="5">
                  <c:v>1839.1849999999999</c:v>
                </c:pt>
                <c:pt idx="6">
                  <c:v>37008.39</c:v>
                </c:pt>
                <c:pt idx="7">
                  <c:v>13624.52</c:v>
                </c:pt>
                <c:pt idx="8">
                  <c:v>229.16300000000001</c:v>
                </c:pt>
              </c:numCache>
            </c:numRef>
          </c:val>
          <c:extLst>
            <c:ext xmlns:c16="http://schemas.microsoft.com/office/drawing/2014/chart" uri="{C3380CC4-5D6E-409C-BE32-E72D297353CC}">
              <c16:uniqueId val="{00000001-8644-40F8-AE03-9792263704A8}"/>
            </c:ext>
          </c:extLst>
        </c:ser>
        <c:ser>
          <c:idx val="2"/>
          <c:order val="2"/>
          <c:tx>
            <c:strRef>
              <c:f>Vordingborg!$P$106</c:f>
              <c:strCache>
                <c:ptCount val="1"/>
                <c:pt idx="0">
                  <c:v>2019</c:v>
                </c:pt>
              </c:strCache>
            </c:strRef>
          </c:tx>
          <c:spPr>
            <a:solidFill>
              <a:schemeClr val="accent3"/>
            </a:solidFill>
            <a:ln>
              <a:noFill/>
            </a:ln>
            <a:effectLst/>
          </c:spPr>
          <c:invertIfNegative val="0"/>
          <c:cat>
            <c:strRef>
              <c:f>Vordingborg!$M$107:$M$115</c:f>
              <c:strCache>
                <c:ptCount val="9"/>
                <c:pt idx="0">
                  <c:v>Madaffald</c:v>
                </c:pt>
                <c:pt idx="1">
                  <c:v>Pap &amp; papir</c:v>
                </c:pt>
                <c:pt idx="2">
                  <c:v>Jern &amp; metal</c:v>
                </c:pt>
                <c:pt idx="3">
                  <c:v>Træ</c:v>
                </c:pt>
                <c:pt idx="4">
                  <c:v>Bygge- &amp; anlæg</c:v>
                </c:pt>
                <c:pt idx="5">
                  <c:v>Asfalt</c:v>
                </c:pt>
                <c:pt idx="6">
                  <c:v>Uforurenet jord</c:v>
                </c:pt>
                <c:pt idx="7">
                  <c:v>Forurenet jord</c:v>
                </c:pt>
                <c:pt idx="8">
                  <c:v>Slam m.v.</c:v>
                </c:pt>
              </c:strCache>
            </c:strRef>
          </c:cat>
          <c:val>
            <c:numRef>
              <c:f>Vordingborg!$P$107:$P$115</c:f>
              <c:numCache>
                <c:formatCode>_-* #,##0_-;\-* #,##0_-;_-* "-"??_-;_-@_-</c:formatCode>
                <c:ptCount val="9"/>
                <c:pt idx="0">
                  <c:v>766.50900000000001</c:v>
                </c:pt>
                <c:pt idx="1">
                  <c:v>2395.5915</c:v>
                </c:pt>
                <c:pt idx="2">
                  <c:v>2810.2976599999997</c:v>
                </c:pt>
                <c:pt idx="3">
                  <c:v>213.34</c:v>
                </c:pt>
                <c:pt idx="4">
                  <c:v>19921.956699999999</c:v>
                </c:pt>
                <c:pt idx="5">
                  <c:v>3239.39</c:v>
                </c:pt>
                <c:pt idx="6">
                  <c:v>13563.664000000001</c:v>
                </c:pt>
                <c:pt idx="7">
                  <c:v>20481.59</c:v>
                </c:pt>
                <c:pt idx="8">
                  <c:v>481.95400000000001</c:v>
                </c:pt>
              </c:numCache>
            </c:numRef>
          </c:val>
          <c:extLst>
            <c:ext xmlns:c16="http://schemas.microsoft.com/office/drawing/2014/chart" uri="{C3380CC4-5D6E-409C-BE32-E72D297353CC}">
              <c16:uniqueId val="{00000002-8644-40F8-AE03-9792263704A8}"/>
            </c:ext>
          </c:extLst>
        </c:ser>
        <c:dLbls>
          <c:showLegendKey val="0"/>
          <c:showVal val="0"/>
          <c:showCatName val="0"/>
          <c:showSerName val="0"/>
          <c:showPercent val="0"/>
          <c:showBubbleSize val="0"/>
        </c:dLbls>
        <c:gapWidth val="219"/>
        <c:overlap val="-27"/>
        <c:axId val="682938136"/>
        <c:axId val="682935512"/>
      </c:barChart>
      <c:catAx>
        <c:axId val="682938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682935512"/>
        <c:crosses val="autoZero"/>
        <c:auto val="1"/>
        <c:lblAlgn val="ctr"/>
        <c:lblOffset val="100"/>
        <c:noMultiLvlLbl val="0"/>
      </c:catAx>
      <c:valAx>
        <c:axId val="682935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Ton pr. år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a-DK"/>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682938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Kommunalt affald, ton, og reelt genanvendt,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a-DK"/>
        </a:p>
      </c:txPr>
    </c:title>
    <c:autoTitleDeleted val="0"/>
    <c:plotArea>
      <c:layout/>
      <c:barChart>
        <c:barDir val="col"/>
        <c:grouping val="stacked"/>
        <c:varyColors val="0"/>
        <c:ser>
          <c:idx val="0"/>
          <c:order val="0"/>
          <c:tx>
            <c:strRef>
              <c:f>Fremskrivning!$B$152</c:f>
              <c:strCache>
                <c:ptCount val="1"/>
                <c:pt idx="0">
                  <c:v>Reelt genanvendt</c:v>
                </c:pt>
              </c:strCache>
            </c:strRef>
          </c:tx>
          <c:spPr>
            <a:solidFill>
              <a:schemeClr val="accent1"/>
            </a:solidFill>
            <a:ln>
              <a:noFill/>
            </a:ln>
            <a:effectLst/>
          </c:spPr>
          <c:invertIfNegative val="0"/>
          <c:cat>
            <c:numRef>
              <c:f>Fremskrivning!$C$151:$E$151</c:f>
              <c:numCache>
                <c:formatCode>General</c:formatCode>
                <c:ptCount val="3"/>
                <c:pt idx="0">
                  <c:v>2020</c:v>
                </c:pt>
                <c:pt idx="1">
                  <c:v>2025</c:v>
                </c:pt>
                <c:pt idx="2">
                  <c:v>2030</c:v>
                </c:pt>
              </c:numCache>
            </c:numRef>
          </c:cat>
          <c:val>
            <c:numRef>
              <c:f>Fremskrivning!$C$152:$E$152</c:f>
              <c:numCache>
                <c:formatCode>" "#,##0" ";"-"#,##0" ";" -"00" ";" "@" "</c:formatCode>
                <c:ptCount val="3"/>
                <c:pt idx="0">
                  <c:v>19798.879079999999</c:v>
                </c:pt>
                <c:pt idx="1">
                  <c:v>21393.683269652978</c:v>
                </c:pt>
                <c:pt idx="2">
                  <c:v>21611.007676350371</c:v>
                </c:pt>
              </c:numCache>
            </c:numRef>
          </c:val>
          <c:extLst>
            <c:ext xmlns:c16="http://schemas.microsoft.com/office/drawing/2014/chart" uri="{C3380CC4-5D6E-409C-BE32-E72D297353CC}">
              <c16:uniqueId val="{00000000-5FEB-4D8D-8AA5-E32FF77DAAAB}"/>
            </c:ext>
          </c:extLst>
        </c:ser>
        <c:ser>
          <c:idx val="1"/>
          <c:order val="1"/>
          <c:tx>
            <c:strRef>
              <c:f>Fremskrivning!$B$153</c:f>
              <c:strCache>
                <c:ptCount val="1"/>
                <c:pt idx="0">
                  <c:v>Øvrigt indsamlet</c:v>
                </c:pt>
              </c:strCache>
            </c:strRef>
          </c:tx>
          <c:spPr>
            <a:solidFill>
              <a:schemeClr val="accent2"/>
            </a:solidFill>
            <a:ln>
              <a:noFill/>
            </a:ln>
            <a:effectLst/>
          </c:spPr>
          <c:invertIfNegative val="0"/>
          <c:cat>
            <c:numRef>
              <c:f>Fremskrivning!$C$151:$E$151</c:f>
              <c:numCache>
                <c:formatCode>General</c:formatCode>
                <c:ptCount val="3"/>
                <c:pt idx="0">
                  <c:v>2020</c:v>
                </c:pt>
                <c:pt idx="1">
                  <c:v>2025</c:v>
                </c:pt>
                <c:pt idx="2">
                  <c:v>2030</c:v>
                </c:pt>
              </c:numCache>
            </c:numRef>
          </c:cat>
          <c:val>
            <c:numRef>
              <c:f>Fremskrivning!$C$153:$E$153</c:f>
              <c:numCache>
                <c:formatCode>" "#,##0" ";"-"#,##0" ";" -"00" ";" "@" "</c:formatCode>
                <c:ptCount val="3"/>
                <c:pt idx="0">
                  <c:v>19663.675920000009</c:v>
                </c:pt>
                <c:pt idx="1">
                  <c:v>18134.674771494803</c:v>
                </c:pt>
                <c:pt idx="2">
                  <c:v>18149.885403181233</c:v>
                </c:pt>
              </c:numCache>
            </c:numRef>
          </c:val>
          <c:extLst>
            <c:ext xmlns:c16="http://schemas.microsoft.com/office/drawing/2014/chart" uri="{C3380CC4-5D6E-409C-BE32-E72D297353CC}">
              <c16:uniqueId val="{00000001-5FEB-4D8D-8AA5-E32FF77DAAAB}"/>
            </c:ext>
          </c:extLst>
        </c:ser>
        <c:dLbls>
          <c:showLegendKey val="0"/>
          <c:showVal val="0"/>
          <c:showCatName val="0"/>
          <c:showSerName val="0"/>
          <c:showPercent val="0"/>
          <c:showBubbleSize val="0"/>
        </c:dLbls>
        <c:gapWidth val="150"/>
        <c:overlap val="100"/>
        <c:axId val="547531600"/>
        <c:axId val="547526024"/>
      </c:barChart>
      <c:lineChart>
        <c:grouping val="standard"/>
        <c:varyColors val="0"/>
        <c:ser>
          <c:idx val="2"/>
          <c:order val="2"/>
          <c:tx>
            <c:strRef>
              <c:f>Fremskrivning!$B$154</c:f>
              <c:strCache>
                <c:ptCount val="1"/>
                <c:pt idx="0">
                  <c:v>Reel GA%</c:v>
                </c:pt>
              </c:strCache>
            </c:strRef>
          </c:tx>
          <c:spPr>
            <a:ln w="28575" cap="rnd">
              <a:solidFill>
                <a:schemeClr val="accent3"/>
              </a:solidFill>
              <a:round/>
            </a:ln>
            <a:effectLst/>
          </c:spPr>
          <c:marker>
            <c:symbol val="none"/>
          </c:marker>
          <c:cat>
            <c:numRef>
              <c:f>Fremskrivning!$C$151:$E$151</c:f>
              <c:numCache>
                <c:formatCode>General</c:formatCode>
                <c:ptCount val="3"/>
                <c:pt idx="0">
                  <c:v>2020</c:v>
                </c:pt>
                <c:pt idx="1">
                  <c:v>2025</c:v>
                </c:pt>
                <c:pt idx="2">
                  <c:v>2030</c:v>
                </c:pt>
              </c:numCache>
            </c:numRef>
          </c:cat>
          <c:val>
            <c:numRef>
              <c:f>Fremskrivning!$C$154:$E$154</c:f>
              <c:numCache>
                <c:formatCode>" "#,##0.0" ";"-"#,##0.0" ";" -"00" ";" "@" "</c:formatCode>
                <c:ptCount val="3"/>
                <c:pt idx="0">
                  <c:v>50.171305633910414</c:v>
                </c:pt>
                <c:pt idx="1">
                  <c:v>54.12236766167424</c:v>
                </c:pt>
                <c:pt idx="2">
                  <c:v>54.35242018614376</c:v>
                </c:pt>
              </c:numCache>
            </c:numRef>
          </c:val>
          <c:smooth val="0"/>
          <c:extLst>
            <c:ext xmlns:c16="http://schemas.microsoft.com/office/drawing/2014/chart" uri="{C3380CC4-5D6E-409C-BE32-E72D297353CC}">
              <c16:uniqueId val="{00000002-5FEB-4D8D-8AA5-E32FF77DAAAB}"/>
            </c:ext>
          </c:extLst>
        </c:ser>
        <c:dLbls>
          <c:showLegendKey val="0"/>
          <c:showVal val="0"/>
          <c:showCatName val="0"/>
          <c:showSerName val="0"/>
          <c:showPercent val="0"/>
          <c:showBubbleSize val="0"/>
        </c:dLbls>
        <c:marker val="1"/>
        <c:smooth val="0"/>
        <c:axId val="479526640"/>
        <c:axId val="479528608"/>
      </c:lineChart>
      <c:catAx>
        <c:axId val="54753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547526024"/>
        <c:crosses val="autoZero"/>
        <c:auto val="1"/>
        <c:lblAlgn val="ctr"/>
        <c:lblOffset val="100"/>
        <c:noMultiLvlLbl val="0"/>
      </c:catAx>
      <c:valAx>
        <c:axId val="547526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a-DK"/>
            </a:p>
          </c:txPr>
        </c:title>
        <c:numFmt formatCode="&quot; &quot;#,##0&quot; &quot;;&quot;-&quot;#,##0&quot; &quot;;&quot; -&quot;00&quot; &quot;;&quot; &quot;@&quot; &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547531600"/>
        <c:crosses val="autoZero"/>
        <c:crossBetween val="between"/>
      </c:valAx>
      <c:valAx>
        <c:axId val="47952860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reelt genanvendt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a-DK"/>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479526640"/>
        <c:crosses val="max"/>
        <c:crossBetween val="between"/>
      </c:valAx>
      <c:catAx>
        <c:axId val="479526640"/>
        <c:scaling>
          <c:orientation val="minMax"/>
        </c:scaling>
        <c:delete val="1"/>
        <c:axPos val="b"/>
        <c:numFmt formatCode="General" sourceLinked="1"/>
        <c:majorTickMark val="out"/>
        <c:minorTickMark val="none"/>
        <c:tickLblPos val="nextTo"/>
        <c:crossAx val="4795286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2384-C3E3-4FCA-9B56-BA8FEA6A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14154</Words>
  <Characters>87761</Characters>
  <Application>Microsoft Office Word</Application>
  <DocSecurity>0</DocSecurity>
  <Lines>2309</Lines>
  <Paragraphs>1084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Mette Evind-Poulsen</dc:creator>
  <cp:lastModifiedBy>Lise Blædel Møller</cp:lastModifiedBy>
  <cp:revision>2</cp:revision>
  <cp:lastPrinted>2021-09-17T08:58:00Z</cp:lastPrinted>
  <dcterms:created xsi:type="dcterms:W3CDTF">2024-04-01T13:15:00Z</dcterms:created>
  <dcterms:modified xsi:type="dcterms:W3CDTF">2024-04-01T13:15:00Z</dcterms:modified>
</cp:coreProperties>
</file>